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p>
    <w:p>
      <w:pPr>
        <w:jc w:val="center"/>
        <w:rPr>
          <w:rFonts w:hint="eastAsia" w:ascii="宋体" w:hAnsi="宋体" w:cs="宋体"/>
          <w:spacing w:val="76"/>
          <w:sz w:val="96"/>
          <w:szCs w:val="21"/>
        </w:rPr>
      </w:pPr>
      <w:r>
        <w:rPr>
          <w:rFonts w:hint="eastAsia" w:ascii="宋体" w:hAnsi="宋体" w:cs="宋体"/>
          <w:spacing w:val="76"/>
          <w:sz w:val="96"/>
          <w:szCs w:val="21"/>
        </w:rPr>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招</w:t>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标</w:t>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文</w:t>
      </w:r>
      <w:r/>
    </w:p>
    <w:p>
      <w:pPr>
        <w:jc w:val="center"/>
        <w:rPr>
          <w:rFonts w:hint="eastAsia" w:ascii="宋体" w:hAnsi="宋体" w:cs="宋体"/>
          <w:spacing w:val="76"/>
          <w:sz w:val="144"/>
        </w:rPr>
      </w:pPr>
      <w:r>
        <w:rPr>
          <w:rFonts w:hint="eastAsia" w:ascii="华文中宋" w:hAnsi="华文中宋" w:eastAsia="华文中宋" w:cs="华文中宋"/>
          <w:spacing w:val="76"/>
          <w:sz w:val="96"/>
          <w:szCs w:val="21"/>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675"/>
        <w:rPr>
          <w:rFonts w:hint="eastAsia"/>
        </w:rPr>
      </w:pPr>
      <w:r>
        <w:rPr>
          <w:rFonts w:hint="eastAsia"/>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cs="宋体"/>
          <w:color w:val="auto"/>
          <w:sz w:val="28"/>
          <w:szCs w:val="28"/>
          <w:lang w:eastAsia="zh-CN"/>
        </w:rPr>
        <w:t xml:space="preserve">项目名称：</w:t>
      </w:r>
      <w:bookmarkStart w:id="22" w:name="_GoBack"/>
      <w:r>
        <w:rPr>
          <w:rFonts w:hint="eastAsia" w:ascii="宋体" w:hAnsi="宋体" w:cs="宋体"/>
          <w:color w:val="auto"/>
          <w:sz w:val="28"/>
          <w:szCs w:val="28"/>
          <w:lang w:eastAsia="zh-CN"/>
        </w:rPr>
        <w:t xml:space="preserve">购买泉山区老旧房屋安全保险服务</w:t>
      </w:r>
      <w:bookmarkEnd w:id="22"/>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JSZC-320311-WRSJ-G2025-0002</w:t>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徐州市泉山区房产服务中心</w:t>
      </w:r>
      <w:r/>
    </w:p>
    <w:p>
      <w:pPr>
        <w:jc w:val="center"/>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jc w:val="center"/>
        <w:keepLines w:val="0"/>
        <w:keepNext w:val="0"/>
        <w:pageBreakBefore w:val="0"/>
        <w:spacing w:line="480" w:lineRule="exact"/>
        <w:widowControl w:val="off"/>
        <w:rPr>
          <w:rFonts w:hint="eastAsia" w:ascii="宋体" w:hAnsi="宋体" w:cs="宋体"/>
          <w:sz w:val="28"/>
          <w:szCs w:val="28"/>
          <w:highlight w:val="yellow"/>
        </w:rPr>
        <w:outlineLvl w:val="9"/>
      </w:pPr>
      <w:r>
        <w:rPr>
          <w:rFonts w:hint="eastAsia" w:ascii="宋体" w:hAnsi="宋体" w:cs="宋体"/>
          <w:sz w:val="28"/>
          <w:szCs w:val="28"/>
          <w:highlight w:val="yellow"/>
        </w:rPr>
      </w:r>
      <w:r/>
    </w:p>
    <w:p>
      <w:pPr>
        <w:jc w:val="both"/>
        <w:keepLines w:val="0"/>
        <w:keepNext w:val="0"/>
        <w:pageBreakBefore w:val="0"/>
        <w:spacing w:line="480" w:lineRule="exact"/>
        <w:widowControl w:val="off"/>
        <w:rPr>
          <w:rFonts w:hint="eastAsia" w:ascii="宋体" w:hAnsi="宋体" w:cs="宋体"/>
          <w:sz w:val="28"/>
          <w:szCs w:val="28"/>
          <w:highlight w:val="none"/>
        </w:rPr>
        <w:outlineLvl w:val="9"/>
      </w:pPr>
      <w:r>
        <w:rPr>
          <w:rFonts w:hint="eastAsia" w:ascii="宋体" w:hAnsi="宋体" w:cs="宋体"/>
          <w:sz w:val="28"/>
          <w:szCs w:val="28"/>
          <w:highlight w:val="none"/>
        </w:rPr>
      </w:r>
      <w:r/>
    </w:p>
    <w:p>
      <w:pPr>
        <w:jc w:val="center"/>
        <w:keepLines w:val="0"/>
        <w:keepNext w:val="0"/>
        <w:pageBreakBefore w:val="0"/>
        <w:spacing w:line="480" w:lineRule="exact"/>
        <w:widowControl w:val="off"/>
        <w:rPr>
          <w:rFonts w:hint="eastAsia" w:ascii="宋体" w:hAnsi="宋体" w:eastAsia="宋体" w:cs="宋体"/>
          <w:sz w:val="28"/>
          <w:szCs w:val="28"/>
          <w:highlight w:val="none"/>
          <w:lang w:eastAsia="zh-CN"/>
        </w:rPr>
        <w:outlineLvl w:val="9"/>
      </w:pPr>
      <w:r>
        <w:rPr>
          <w:rFonts w:hint="eastAsia" w:ascii="宋体" w:hAnsi="宋体" w:cs="宋体"/>
          <w:sz w:val="28"/>
          <w:szCs w:val="28"/>
          <w:highlight w:val="none"/>
        </w:rPr>
        <w:t xml:space="preserve">采购代理机构：</w:t>
      </w:r>
      <w:r>
        <w:rPr>
          <w:rFonts w:hint="eastAsia" w:ascii="宋体" w:hAnsi="宋体" w:cs="宋体"/>
          <w:sz w:val="28"/>
          <w:szCs w:val="28"/>
          <w:highlight w:val="none"/>
          <w:lang w:eastAsia="zh-CN"/>
        </w:rPr>
        <w:t xml:space="preserve">万人数据科技（徐州）有限公司</w:t>
      </w:r>
      <w:r/>
    </w:p>
    <w:p>
      <w:pPr>
        <w:pStyle w:val="911"/>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十一</w:t>
      </w:r>
      <w:r>
        <w:rPr>
          <w:rFonts w:hint="eastAsia" w:ascii="宋体" w:hAnsi="宋体" w:cs="宋体"/>
          <w:color w:val="000000"/>
          <w:sz w:val="28"/>
          <w:szCs w:val="28"/>
        </w:rPr>
        <w:t xml:space="preserve">月</w:t>
      </w:r>
      <w:r>
        <w:rPr>
          <w:rFonts w:hint="eastAsia" w:ascii="宋体" w:hAnsi="宋体" w:cs="宋体"/>
          <w:b/>
          <w:sz w:val="44"/>
        </w:rPr>
        <w:br w:type="page" w:clear="all"/>
      </w:r>
      <w:r/>
    </w:p>
    <w:p>
      <w:pPr>
        <w:pStyle w:val="911"/>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徐州市泉山区房产服务中心</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购买泉山区老旧房屋安全保险服务</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884"/>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对</w:t>
      </w:r>
      <w:r>
        <w:rPr>
          <w:rFonts w:hint="eastAsia" w:ascii="宋体" w:hAnsi="宋体" w:cs="宋体"/>
          <w:sz w:val="28"/>
          <w:szCs w:val="28"/>
          <w:lang w:eastAsia="zh-CN"/>
        </w:rPr>
        <w:t xml:space="preserve">徐州市泉山区房产服务中心</w:t>
      </w:r>
      <w:r>
        <w:rPr>
          <w:rFonts w:hint="eastAsia" w:ascii="宋体" w:hAnsi="宋体" w:cs="宋体"/>
          <w:sz w:val="28"/>
          <w:szCs w:val="28"/>
        </w:rPr>
        <w:t xml:space="preserve">“</w:t>
      </w:r>
      <w:r>
        <w:rPr>
          <w:rFonts w:hint="eastAsia" w:ascii="宋体" w:hAnsi="宋体" w:cs="宋体"/>
          <w:sz w:val="28"/>
          <w:szCs w:val="28"/>
          <w:lang w:eastAsia="zh-CN"/>
        </w:rPr>
        <w:t xml:space="preserve">购买泉山区老旧房屋安全保险服务</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一、项目名称和项目编号</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sz w:val="28"/>
          <w:szCs w:val="28"/>
          <w:lang w:eastAsia="zh-CN"/>
        </w:rPr>
        <w:t xml:space="preserve">（一）</w:t>
      </w:r>
      <w:r>
        <w:rPr>
          <w:rFonts w:hint="eastAsia" w:ascii="宋体" w:hAnsi="宋体" w:cs="宋体"/>
          <w:color w:val="000000" w:themeColor="text1"/>
          <w:sz w:val="28"/>
          <w:szCs w:val="28"/>
          <w:lang w:eastAsia="zh-CN"/>
          <w14:textFill>
            <w14:solidFill>
              <w14:schemeClr w14:val="tx1"/>
            </w14:solidFill>
          </w14:textFill>
        </w:rPr>
        <w:t xml:space="preserve">项目名称：购买泉山区老旧房屋安全保险服务</w:t>
      </w:r>
      <w:r/>
    </w:p>
    <w:p>
      <w:pPr>
        <w:ind w:firstLine="560"/>
        <w:spacing w:line="52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（二）</w:t>
      </w: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JSZC-320311-WRSJ-G2025-0002</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16"/>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16"/>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16"/>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pStyle w:val="716"/>
        <w:ind w:firstLine="621"/>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五、采购人</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徐州市泉山区房产服务中心</w:t>
      </w:r>
      <w:r/>
    </w:p>
    <w:p>
      <w:pPr>
        <w:ind w:firstLine="560"/>
        <w:spacing w:line="520" w:lineRule="exac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（二）地址：徐州市泉山区建国西路</w:t>
      </w:r>
      <w:r>
        <w:rPr>
          <w:rFonts w:hint="eastAsia" w:ascii="宋体" w:hAnsi="宋体" w:cs="宋体"/>
          <w:color w:val="auto"/>
          <w:sz w:val="28"/>
          <w:szCs w:val="28"/>
          <w:lang w:val="en-US" w:eastAsia="zh-CN"/>
        </w:rPr>
        <w:t xml:space="preserve">61号</w:t>
      </w:r>
      <w:r/>
    </w:p>
    <w:p>
      <w:pPr>
        <w:ind w:firstLine="560"/>
        <w:spacing w:line="520" w:lineRule="exact"/>
        <w:rPr>
          <w:rFonts w:hint="eastAsia" w:ascii="宋体" w:hAnsi="宋体" w:cs="宋体"/>
          <w:color w:val="auto"/>
          <w:sz w:val="28"/>
          <w:szCs w:val="28"/>
          <w:lang w:val="en-US" w:eastAsia="zh-CN"/>
        </w:rPr>
      </w:pPr>
      <w:r>
        <w:rPr>
          <w:rFonts w:hint="eastAsia" w:ascii="宋体" w:hAnsi="宋体" w:cs="宋体"/>
          <w:color w:val="auto"/>
          <w:sz w:val="28"/>
          <w:szCs w:val="28"/>
          <w:lang w:eastAsia="zh-CN"/>
        </w:rPr>
        <w:t xml:space="preserve">（三）联系方法：</w:t>
      </w:r>
      <w:r>
        <w:rPr>
          <w:rFonts w:hint="eastAsia" w:ascii="宋体" w:hAnsi="宋体" w:cs="宋体"/>
          <w:color w:val="auto"/>
          <w:sz w:val="28"/>
          <w:szCs w:val="28"/>
          <w:lang w:val="en-US" w:eastAsia="zh-CN"/>
        </w:rPr>
        <w:t xml:space="preserve">0516-68881060</w:t>
      </w:r>
      <w:r/>
    </w:p>
    <w:p>
      <w:pPr>
        <w:ind w:firstLine="560"/>
        <w:spacing w:line="520" w:lineRule="exact"/>
        <w:rPr>
          <w:rFonts w:hint="default" w:ascii="宋体" w:hAnsi="宋体" w:cs="宋体"/>
          <w:color w:val="auto"/>
          <w:sz w:val="28"/>
          <w:szCs w:val="28"/>
          <w:lang w:val="en-US" w:eastAsia="zh-CN"/>
        </w:rPr>
      </w:pPr>
      <w:r>
        <w:rPr>
          <w:rFonts w:hint="eastAsia" w:ascii="宋体" w:hAnsi="宋体" w:cs="宋体"/>
          <w:color w:val="auto"/>
          <w:sz w:val="28"/>
          <w:szCs w:val="28"/>
          <w:lang w:eastAsia="zh-CN"/>
        </w:rPr>
        <w:t xml:space="preserve">（四）采购项目联系人：</w:t>
      </w:r>
      <w:r>
        <w:rPr>
          <w:rFonts w:hint="eastAsia" w:ascii="宋体" w:hAnsi="宋体" w:cs="宋体"/>
          <w:color w:val="auto"/>
          <w:sz w:val="28"/>
          <w:szCs w:val="28"/>
          <w:lang w:val="en-US" w:eastAsia="zh-CN"/>
        </w:rPr>
        <w:t xml:space="preserve">李建新</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万人数据科技（徐州）有限公司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徐州市泉山区黄河西路118号淮海大健康产业园18#-2-203</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（三）联系方法：15751035227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毛松宇</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974"/>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3404697"/>
      <w:r/>
      <w:bookmarkStart w:id="7" w:name="_Toc522790132"/>
      <w:r>
        <w:rPr>
          <w:rFonts w:ascii="宋体" w:hAnsi="宋体" w:eastAsia="宋体"/>
        </w:rPr>
        <w:t xml:space="preserve">第二章  投标人须知</w:t>
      </w:r>
      <w:r/>
    </w:p>
    <w:p>
      <w:pPr>
        <w:pStyle w:val="716"/>
        <w:ind w:firstLine="600"/>
        <w:spacing w:line="520" w:lineRule="exact"/>
        <w:rPr>
          <w:rFonts w:ascii="宋体" w:hAnsi="宋体"/>
          <w:sz w:val="28"/>
          <w:szCs w:val="28"/>
        </w:rPr>
      </w:pPr>
      <w:r>
        <w:rPr>
          <w:rFonts w:ascii="宋体" w:hAnsi="宋体"/>
          <w:sz w:val="28"/>
          <w:szCs w:val="28"/>
        </w:rPr>
        <w:t xml:space="preserve">一、总则</w:t>
      </w:r>
      <w:r/>
    </w:p>
    <w:p>
      <w:pPr>
        <w:pStyle w:val="716"/>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16"/>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16"/>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16"/>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1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16"/>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16"/>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16"/>
        <w:ind w:firstLine="600"/>
        <w:spacing w:line="520" w:lineRule="exact"/>
        <w:rPr>
          <w:rFonts w:ascii="宋体" w:hAnsi="宋体"/>
          <w:sz w:val="28"/>
          <w:szCs w:val="28"/>
        </w:rPr>
      </w:pPr>
      <w:r>
        <w:rPr>
          <w:rFonts w:ascii="宋体" w:hAnsi="宋体"/>
          <w:sz w:val="28"/>
          <w:szCs w:val="28"/>
        </w:rPr>
        <w:t xml:space="preserve">二、招标</w:t>
      </w:r>
      <w:r/>
    </w:p>
    <w:p>
      <w:pPr>
        <w:pStyle w:val="716"/>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16"/>
        <w:ind w:firstLine="600"/>
        <w:spacing w:line="520" w:lineRule="exact"/>
        <w:rPr>
          <w:rFonts w:ascii="宋体" w:hAnsi="宋体"/>
          <w:sz w:val="28"/>
          <w:szCs w:val="28"/>
        </w:rPr>
      </w:pPr>
      <w:r>
        <w:rPr>
          <w:rFonts w:ascii="宋体" w:hAnsi="宋体"/>
          <w:sz w:val="28"/>
          <w:szCs w:val="28"/>
        </w:rPr>
        <w:t xml:space="preserve">第一章，投标邀请；</w:t>
      </w:r>
      <w:r/>
    </w:p>
    <w:p>
      <w:pPr>
        <w:pStyle w:val="716"/>
        <w:ind w:firstLine="600"/>
        <w:spacing w:line="520" w:lineRule="exact"/>
        <w:rPr>
          <w:rFonts w:ascii="宋体" w:hAnsi="宋体"/>
          <w:sz w:val="28"/>
          <w:szCs w:val="28"/>
        </w:rPr>
      </w:pPr>
      <w:r>
        <w:rPr>
          <w:rFonts w:ascii="宋体" w:hAnsi="宋体"/>
          <w:sz w:val="28"/>
          <w:szCs w:val="28"/>
        </w:rPr>
        <w:t xml:space="preserve">第二章，投标人须知；</w:t>
      </w:r>
      <w:r/>
    </w:p>
    <w:p>
      <w:pPr>
        <w:pStyle w:val="716"/>
        <w:ind w:firstLine="600"/>
        <w:spacing w:line="520" w:lineRule="exact"/>
        <w:rPr>
          <w:rFonts w:ascii="宋体" w:hAnsi="宋体"/>
          <w:sz w:val="28"/>
          <w:szCs w:val="28"/>
        </w:rPr>
      </w:pPr>
      <w:r>
        <w:rPr>
          <w:rFonts w:ascii="宋体" w:hAnsi="宋体"/>
          <w:sz w:val="28"/>
          <w:szCs w:val="28"/>
        </w:rPr>
        <w:t xml:space="preserve">第三章，投标资料表；</w:t>
      </w:r>
      <w:r/>
    </w:p>
    <w:p>
      <w:pPr>
        <w:pStyle w:val="716"/>
        <w:ind w:firstLine="600"/>
        <w:spacing w:line="520" w:lineRule="exact"/>
        <w:rPr>
          <w:rFonts w:ascii="宋体" w:hAnsi="宋体"/>
          <w:sz w:val="28"/>
          <w:szCs w:val="28"/>
        </w:rPr>
      </w:pPr>
      <w:r>
        <w:rPr>
          <w:rFonts w:ascii="宋体" w:hAnsi="宋体"/>
          <w:sz w:val="28"/>
          <w:szCs w:val="28"/>
        </w:rPr>
        <w:t xml:space="preserve">第四章，评标标准；</w:t>
      </w:r>
      <w:r/>
    </w:p>
    <w:p>
      <w:pPr>
        <w:pStyle w:val="716"/>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16"/>
        <w:ind w:firstLine="600"/>
        <w:spacing w:line="520" w:lineRule="exact"/>
        <w:rPr>
          <w:rFonts w:ascii="宋体" w:hAnsi="宋体"/>
          <w:sz w:val="28"/>
          <w:szCs w:val="28"/>
        </w:rPr>
      </w:pPr>
      <w:r>
        <w:rPr>
          <w:rFonts w:ascii="宋体" w:hAnsi="宋体"/>
          <w:sz w:val="28"/>
          <w:szCs w:val="28"/>
        </w:rPr>
        <w:t xml:space="preserve">第六章，采购需求；</w:t>
      </w:r>
      <w:r/>
    </w:p>
    <w:p>
      <w:pPr>
        <w:pStyle w:val="716"/>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16"/>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6"/>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三、投标</w:t>
      </w:r>
      <w:r/>
    </w:p>
    <w:p>
      <w:pPr>
        <w:pStyle w:val="716"/>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16"/>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16"/>
        <w:ind w:firstLine="600"/>
        <w:spacing w:line="520" w:lineRule="exact"/>
        <w:rPr>
          <w:rFonts w:ascii="宋体" w:hAnsi="宋体"/>
          <w:sz w:val="28"/>
          <w:szCs w:val="28"/>
        </w:rPr>
      </w:pPr>
      <w:r>
        <w:rPr>
          <w:rFonts w:ascii="宋体" w:hAnsi="宋体"/>
          <w:sz w:val="28"/>
          <w:szCs w:val="28"/>
        </w:rPr>
        <w:t xml:space="preserve">（十二）投标文件的构成：</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16"/>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（十四）投标报价要求：</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16"/>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16"/>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16"/>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（十六）投标有效期：</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16"/>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w:t>
      </w:r>
      <w:r>
        <w:rPr>
          <w:rFonts w:hint="eastAsia" w:ascii="宋体" w:hAnsi="宋体"/>
          <w:sz w:val="28"/>
          <w:szCs w:val="28"/>
          <w:lang w:eastAsia="zh-CN"/>
        </w:rPr>
        <w:t xml:space="preserve">登录</w:t>
      </w:r>
      <w:r>
        <w:rPr>
          <w:rFonts w:ascii="宋体" w:hAnsi="宋体"/>
          <w:sz w:val="28"/>
          <w:szCs w:val="28"/>
        </w:rPr>
        <w:t xml:space="preserve">“苏采云”系统在线编制投标文件（电子数据），并在投标截止时间之前上传投标文件。</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16"/>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16"/>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16"/>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16"/>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1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16"/>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16"/>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16"/>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16"/>
        <w:ind w:firstLine="600"/>
        <w:spacing w:line="520" w:lineRule="exact"/>
        <w:rPr>
          <w:rFonts w:ascii="宋体" w:hAnsi="宋体"/>
          <w:sz w:val="28"/>
          <w:szCs w:val="28"/>
        </w:rPr>
      </w:pPr>
      <w:r>
        <w:rPr>
          <w:rFonts w:ascii="宋体" w:hAnsi="宋体"/>
          <w:sz w:val="28"/>
          <w:szCs w:val="28"/>
        </w:rPr>
        <w:t xml:space="preserve">四、开标</w:t>
      </w:r>
      <w:r/>
    </w:p>
    <w:p>
      <w:pPr>
        <w:pStyle w:val="716"/>
        <w:ind w:firstLine="600"/>
        <w:spacing w:line="520" w:lineRule="exact"/>
        <w:rPr>
          <w:rFonts w:ascii="宋体" w:hAnsi="宋体"/>
          <w:sz w:val="28"/>
          <w:szCs w:val="28"/>
        </w:rPr>
      </w:pPr>
      <w:r>
        <w:rPr>
          <w:rFonts w:ascii="宋体" w:hAnsi="宋体"/>
          <w:sz w:val="28"/>
          <w:szCs w:val="28"/>
        </w:rPr>
        <w:t xml:space="preserve">（二十五）开标：</w:t>
      </w:r>
      <w:r/>
    </w:p>
    <w:p>
      <w:pPr>
        <w:pStyle w:val="716"/>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1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1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16"/>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16"/>
        <w:ind w:firstLine="600"/>
        <w:spacing w:line="520" w:lineRule="exact"/>
        <w:rPr>
          <w:rFonts w:ascii="宋体" w:hAnsi="宋体"/>
          <w:sz w:val="28"/>
          <w:szCs w:val="28"/>
        </w:rPr>
      </w:pPr>
      <w:r>
        <w:rPr>
          <w:rFonts w:ascii="宋体" w:hAnsi="宋体"/>
          <w:sz w:val="28"/>
          <w:szCs w:val="28"/>
        </w:rPr>
        <w:t xml:space="preserve">五、评标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16"/>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16"/>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16"/>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16"/>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16"/>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16"/>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16"/>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16"/>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16"/>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16"/>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16"/>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16"/>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16"/>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16"/>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16"/>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16"/>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16"/>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16"/>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16"/>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16"/>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16"/>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16"/>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16"/>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16"/>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16"/>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16"/>
        <w:ind w:firstLine="600"/>
        <w:spacing w:line="520" w:lineRule="exact"/>
        <w:rPr>
          <w:rFonts w:ascii="宋体" w:hAnsi="宋体"/>
          <w:sz w:val="28"/>
          <w:szCs w:val="28"/>
        </w:rPr>
      </w:pPr>
      <w:r>
        <w:rPr>
          <w:rFonts w:ascii="宋体" w:hAnsi="宋体"/>
          <w:sz w:val="28"/>
          <w:szCs w:val="28"/>
        </w:rPr>
        <w:t xml:space="preserve">六、定标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16"/>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6"/>
        <w:ind w:firstLine="600"/>
        <w:spacing w:line="520" w:lineRule="exact"/>
        <w:rPr>
          <w:rFonts w:ascii="宋体" w:hAnsi="宋体"/>
          <w:sz w:val="28"/>
          <w:szCs w:val="28"/>
        </w:rPr>
      </w:pPr>
      <w:r>
        <w:rPr>
          <w:rFonts w:ascii="宋体" w:hAnsi="宋体"/>
          <w:sz w:val="28"/>
          <w:szCs w:val="28"/>
        </w:rPr>
        <w:t xml:space="preserve">七、政府采购合同</w:t>
      </w:r>
      <w:r/>
    </w:p>
    <w:p>
      <w:pPr>
        <w:pStyle w:val="716"/>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16"/>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16"/>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16"/>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16"/>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16"/>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16"/>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16"/>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16"/>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16"/>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w:t>
      </w:r>
      <w:r>
        <w:rPr>
          <w:rFonts w:hint="eastAsia" w:ascii="宋体" w:hAnsi="宋体"/>
          <w:sz w:val="28"/>
          <w:szCs w:val="28"/>
          <w:lang w:eastAsia="zh-CN"/>
        </w:rPr>
        <w:t xml:space="preserve">事实真相</w:t>
      </w:r>
      <w:r>
        <w:rPr>
          <w:rFonts w:ascii="宋体" w:hAnsi="宋体"/>
          <w:sz w:val="28"/>
          <w:szCs w:val="28"/>
        </w:rPr>
        <w:t xml:space="preserve">，给买方、卖方、采购代理机构及他人造成损害的行为，其中包括投标人之间的串通行为。</w:t>
      </w:r>
      <w:r/>
    </w:p>
    <w:p>
      <w:pPr>
        <w:pStyle w:val="716"/>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16"/>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w:t>
      </w:r>
      <w:r>
        <w:rPr>
          <w:rFonts w:hint="eastAsia" w:ascii="宋体" w:hAnsi="宋体"/>
          <w:sz w:val="28"/>
          <w:szCs w:val="28"/>
          <w:lang w:eastAsia="zh-CN"/>
        </w:rPr>
        <w:t xml:space="preserve">撤销其</w:t>
      </w:r>
      <w:r>
        <w:rPr>
          <w:rFonts w:ascii="宋体" w:hAnsi="宋体"/>
          <w:sz w:val="28"/>
          <w:szCs w:val="28"/>
        </w:rPr>
        <w:t xml:space="preserve">已签署的合</w:t>
      </w:r>
      <w:r>
        <w:rPr>
          <w:rFonts w:ascii="宋体" w:hAnsi="宋体"/>
          <w:sz w:val="28"/>
          <w:szCs w:val="28"/>
          <w:highlight w:val="none"/>
        </w:rPr>
        <w:t xml:space="preserve">同。</w:t>
      </w:r>
      <w:r/>
    </w:p>
    <w:p>
      <w:pPr>
        <w:pStyle w:val="716"/>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w:t>
      </w:r>
      <w:r>
        <w:rPr>
          <w:rFonts w:hint="eastAsia" w:hAnsi="宋体"/>
          <w:sz w:val="28"/>
          <w:szCs w:val="28"/>
          <w:highlight w:val="none"/>
          <w:u w:val="none"/>
          <w:lang w:val="en-US" w:eastAsia="zh-CN"/>
        </w:rPr>
        <w:t xml:space="preserve">撤销其</w:t>
      </w:r>
      <w:r>
        <w:rPr>
          <w:rFonts w:hint="eastAsia" w:hAnsi="宋体" w:eastAsia="宋体"/>
          <w:sz w:val="28"/>
          <w:szCs w:val="28"/>
          <w:highlight w:val="none"/>
          <w:u w:val="none"/>
          <w:lang w:val="en-US" w:eastAsia="zh-CN"/>
        </w:rPr>
        <w:t xml:space="preserve">已签署的合同。</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16"/>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16"/>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6"/>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16"/>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16"/>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674"/>
        <w:tblW w:w="10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9"/>
        <w:gridCol w:w="9250"/>
      </w:tblGrid>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徐州市泉山区房产服务中心</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万人数据科技（徐州）有限公司</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属于专门面向中小微企业采购的项目。</w:t>
            </w:r>
            <w:r/>
          </w:p>
          <w:p>
            <w:pPr>
              <w:jc w:val="left"/>
              <w:spacing w:line="400" w:lineRule="exact"/>
              <w:rPr>
                <w:rFonts w:hint="eastAsia" w:ascii="宋体" w:hAnsi="宋体" w:eastAsia="宋体"/>
                <w:color w:val="auto"/>
                <w:sz w:val="28"/>
                <w:szCs w:val="28"/>
                <w:lang w:eastAsia="zh-CN"/>
              </w:rPr>
            </w:pPr>
            <w:r>
              <w:rPr>
                <w:rFonts w:hint="eastAsia" w:ascii="宋体" w:hAnsi="宋体"/>
                <w:b/>
                <w:bCs/>
                <w:color w:val="auto"/>
                <w:sz w:val="28"/>
                <w:szCs w:val="28"/>
                <w:lang w:eastAsia="zh-CN"/>
              </w:rPr>
              <w:t xml:space="preserve">三、特定资格要求：投标人具有</w:t>
            </w:r>
            <w:r>
              <w:rPr>
                <w:rFonts w:hint="eastAsia" w:ascii="宋体" w:hAnsi="宋体"/>
                <w:b/>
                <w:bCs/>
                <w:color w:val="auto"/>
                <w:sz w:val="28"/>
                <w:szCs w:val="28"/>
                <w:lang w:val="en-US" w:eastAsia="zh-CN"/>
              </w:rPr>
              <w:t xml:space="preserve">国家金融监管总局（或原中国保险监督管理委员会）颁发的《经营保险业务许可证》，具有相关险种经营资质。</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16"/>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1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 xml:space="preserve">4、具备履行合同所必需的设备和专业技术能</w:t>
            </w:r>
            <w:r>
              <w:rPr>
                <w:rFonts w:hint="eastAsia" w:ascii="宋体" w:hAnsi="宋体" w:cs="宋体"/>
                <w:sz w:val="28"/>
                <w:szCs w:val="28"/>
              </w:rPr>
              <w:t xml:space="preserve">力的证明材料</w:t>
            </w:r>
            <w:r>
              <w:rPr>
                <w:rFonts w:hint="eastAsia" w:ascii="宋体" w:hAnsi="宋体" w:cs="宋体"/>
                <w:sz w:val="28"/>
                <w:szCs w:val="28"/>
                <w:lang w:eastAsia="zh-CN"/>
              </w:rPr>
              <w:t xml:space="preserve">：</w:t>
            </w:r>
            <w:r>
              <w:rPr>
                <w:rFonts w:hint="eastAsia" w:ascii="宋体" w:hAnsi="宋体" w:cs="宋体"/>
                <w:sz w:val="28"/>
                <w:szCs w:val="28"/>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sz w:val="28"/>
                <w:szCs w:val="28"/>
                <w:lang w:eastAsia="zh-CN"/>
              </w:rPr>
              <w:t xml:space="preserve">）。</w:t>
            </w:r>
            <w:r/>
          </w:p>
          <w:p>
            <w:pPr>
              <w:jc w:val="left"/>
              <w:spacing w:line="400" w:lineRule="exact"/>
              <w:rPr>
                <w:rFonts w:hint="eastAsia" w:ascii="宋体" w:hAnsi="宋体" w:cs="宋体"/>
                <w:b/>
                <w:bCs/>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p>
          <w:p>
            <w:pPr>
              <w:jc w:val="left"/>
              <w:spacing w:line="40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sz w:val="28"/>
                <w:szCs w:val="28"/>
              </w:rPr>
              <w:t xml:space="preserve">2、</w:t>
            </w:r>
            <w:r>
              <w:rPr>
                <w:rFonts w:hint="eastAsia" w:ascii="宋体" w:hAnsi="宋体" w:cs="宋体"/>
                <w:sz w:val="28"/>
                <w:szCs w:val="28"/>
                <w:lang w:val="en-US" w:eastAsia="zh-CN"/>
              </w:rPr>
              <w:t xml:space="preserve">第三方房屋安全动态监测机构要求：投标人委托的第三方房屋安全动态监测机构必须在徐州市房屋安全鉴定机构备案名录库中，投标人在投标文件中提供第三方房屋安全动态监测机构承诺书（格式自拟），或者提供第三方房屋安全动态监测机构的名单和鉴定机构备案名录库的截图，否则在符合性审查时按照投标无效处理。</w:t>
            </w:r>
            <w:r/>
          </w:p>
          <w:p>
            <w:pPr>
              <w:jc w:val="left"/>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四、综合评审评分项</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1、偿付能力；</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2、承保经验；</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3、服务团队；</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4、理赔服务方案；</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5、服务内容；</w:t>
            </w:r>
            <w:r/>
          </w:p>
          <w:p>
            <w:pPr>
              <w:spacing w:line="40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6、服务频次；</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7、服务机构；</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8、服务规范；</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9、服务评估；</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10、信息管理；</w:t>
            </w:r>
            <w:r/>
          </w:p>
          <w:p>
            <w:pPr>
              <w:jc w:val="left"/>
              <w:spacing w:line="400" w:lineRule="exact"/>
              <w:rPr>
                <w:rFonts w:hint="eastAsia" w:ascii="宋体" w:hAnsi="宋体" w:cs="宋体"/>
                <w:b/>
                <w:bCs/>
                <w:sz w:val="28"/>
                <w:szCs w:val="28"/>
              </w:rPr>
            </w:pPr>
            <w:r>
              <w:rPr>
                <w:rFonts w:hint="eastAsia" w:ascii="宋体" w:hAnsi="宋体" w:cs="宋体"/>
                <w:sz w:val="28"/>
                <w:szCs w:val="28"/>
                <w:highlight w:val="none"/>
                <w:lang w:val="en-US" w:eastAsia="zh-CN"/>
              </w:rPr>
              <w:t xml:space="preserve">11、综合评价。</w:t>
            </w:r>
            <w:r/>
          </w:p>
          <w:p>
            <w:pPr>
              <w:jc w:val="left"/>
              <w:spacing w:line="400" w:lineRule="exact"/>
              <w:rPr>
                <w:rFonts w:hint="eastAsia" w:ascii="宋体" w:hAnsi="宋体" w:cs="宋体"/>
                <w:b w:val="0"/>
                <w:bCs w:val="0"/>
                <w:sz w:val="28"/>
                <w:szCs w:val="28"/>
              </w:rPr>
            </w:pPr>
            <w:r>
              <w:rPr>
                <w:rFonts w:hint="eastAsia" w:ascii="宋体" w:hAnsi="宋体" w:cs="宋体"/>
                <w:b/>
                <w:bCs/>
                <w:color w:val="000000" w:themeColor="text1"/>
                <w:sz w:val="28"/>
                <w:szCs w:val="28"/>
                <w14:textFill>
                  <w14:solidFill>
                    <w14:schemeClr w14:val="tx1"/>
                  </w14:solidFill>
                </w14:textFill>
              </w:rPr>
              <w:t xml:space="preserve">五、价格折扣文件格式</w:t>
            </w:r>
            <w:r>
              <w:rPr>
                <w:rFonts w:hint="eastAsia" w:ascii="宋体" w:hAnsi="宋体" w:cs="宋体"/>
                <w:b/>
                <w:bCs/>
                <w:color w:val="0000ff"/>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b/>
                <w:bCs/>
                <w:color w:val="0000ff"/>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jc w:val="left"/>
              <w:spacing w:line="400" w:lineRule="exact"/>
              <w:rPr>
                <w:rFonts w:hint="eastAsia" w:ascii="宋体" w:hAnsi="宋体" w:cs="宋体"/>
                <w:sz w:val="28"/>
                <w:szCs w:val="28"/>
              </w:rPr>
            </w:pPr>
            <w:r>
              <w:rPr>
                <w:rFonts w:hint="eastAsia" w:ascii="宋体" w:hAnsi="宋体" w:cs="宋体"/>
                <w:sz w:val="28"/>
                <w:szCs w:val="28"/>
              </w:rPr>
              <w:t xml:space="preserve">注：</w:t>
            </w:r>
            <w:r/>
          </w:p>
          <w:p>
            <w:pPr>
              <w:jc w:val="left"/>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jc w:val="left"/>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
                <w:bCs w:val="0"/>
                <w:sz w:val="28"/>
                <w:szCs w:val="28"/>
                <w:lang w:val="en-US" w:eastAsia="zh-CN"/>
              </w:rPr>
              <w:t xml:space="preserve">511</w:t>
            </w:r>
            <w:r>
              <w:rPr>
                <w:rFonts w:hint="eastAsia" w:ascii="宋体" w:hAnsi="宋体" w:cs="宋体"/>
                <w:b/>
                <w:bCs w:val="0"/>
                <w:sz w:val="28"/>
                <w:szCs w:val="28"/>
              </w:rPr>
              <w:t xml:space="preserve">万元</w:t>
            </w:r>
            <w:r>
              <w:rPr>
                <w:rFonts w:hint="eastAsia" w:ascii="宋体" w:hAnsi="宋体" w:cs="宋体"/>
                <w:bCs/>
                <w:sz w:val="28"/>
                <w:szCs w:val="28"/>
              </w:rPr>
              <w:t xml:space="preserve">人民币（</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w:t>
            </w:r>
            <w:r>
              <w:rPr>
                <w:rFonts w:hint="eastAsia" w:ascii="宋体" w:hAnsi="宋体" w:cs="宋体"/>
                <w:sz w:val="28"/>
                <w:szCs w:val="28"/>
                <w:lang w:eastAsia="zh-CN"/>
              </w:rPr>
              <w:t xml:space="preserve">登录</w:t>
            </w:r>
            <w:r>
              <w:rPr>
                <w:rFonts w:hint="eastAsia" w:ascii="宋体" w:hAnsi="宋体" w:cs="宋体"/>
                <w:sz w:val="28"/>
                <w:szCs w:val="28"/>
              </w:rPr>
              <w:t xml:space="preserve">“苏采云”系统在线编制投标文件（电子数据），并在投标截止时间之前上传投标文件。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ind w:left="0" w:firstLine="0"/>
              <w:jc w:val="left"/>
              <w:keepLines w:val="0"/>
              <w:keepNext w:val="0"/>
              <w:pageBreakBefore w:val="0"/>
              <w:spacing w:line="400" w:lineRule="exact"/>
              <w:widowControl w:val="off"/>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0" w:firstLine="0"/>
              <w:jc w:val="left"/>
              <w:keepLines w:val="0"/>
              <w:keepNext w:val="0"/>
              <w:pageBreakBefore w:val="0"/>
              <w:spacing w:line="400" w:lineRule="exact"/>
              <w:widowControl w:val="off"/>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w:t>
            </w:r>
            <w:r>
              <w:rPr>
                <w:rFonts w:hint="eastAsia" w:ascii="宋体" w:hAnsi="宋体" w:cs="宋体"/>
                <w:color w:val="000000" w:themeColor="text1"/>
                <w:sz w:val="28"/>
                <w:szCs w:val="28"/>
                <w14:textFill>
                  <w14:solidFill>
                    <w14:schemeClr w14:val="tx1"/>
                  </w14:solidFill>
                </w14:textFill>
              </w:rPr>
              <w:t xml:space="preserve">的，按理赔服务</w:t>
            </w:r>
            <w:r>
              <w:rPr>
                <w:rFonts w:hint="eastAsia" w:ascii="宋体" w:hAnsi="宋体" w:eastAsia="宋体" w:cs="宋体"/>
                <w:b w:val="0"/>
                <w:bCs w:val="0"/>
                <w:color w:val="000000"/>
                <w:sz w:val="28"/>
                <w:szCs w:val="28"/>
              </w:rPr>
              <w:t xml:space="preserve">方案</w:t>
            </w:r>
            <w:r>
              <w:rPr>
                <w:rFonts w:hint="eastAsia" w:ascii="宋体" w:hAnsi="宋体" w:eastAsia="宋体" w:cs="宋体"/>
                <w:color w:val="000000" w:themeColor="text1"/>
                <w:sz w:val="28"/>
                <w:szCs w:val="28"/>
                <w14:textFill>
                  <w14:solidFill>
                    <w14:schemeClr w14:val="tx1"/>
                  </w14:solidFill>
                </w14:textFill>
              </w:rPr>
              <w:t xml:space="preserve">总</w:t>
            </w:r>
            <w:r>
              <w:rPr>
                <w:rFonts w:hint="eastAsia" w:ascii="宋体" w:hAnsi="宋体" w:cs="宋体"/>
                <w:color w:val="000000" w:themeColor="text1"/>
                <w:sz w:val="28"/>
                <w:szCs w:val="28"/>
                <w14:textFill>
                  <w14:solidFill>
                    <w14:schemeClr w14:val="tx1"/>
                  </w14:solidFill>
                </w14:textFill>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jc w:val="center"/>
          <w:trHeight w:val="755"/>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jc w:val="center"/>
          <w:trHeight w:val="242"/>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eastAsia="zh-CN"/>
              </w:rPr>
              <w:t xml:space="preserve">三十八</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default" w:ascii="宋体" w:hAnsi="宋体" w:cs="宋体"/>
                <w:sz w:val="28"/>
                <w:szCs w:val="28"/>
                <w:lang w:val="en-US" w:eastAsia="zh-CN"/>
              </w:rPr>
            </w:pPr>
            <w:r>
              <w:rPr>
                <w:rFonts w:hint="eastAsia" w:ascii="宋体" w:hAnsi="宋体" w:cs="宋体"/>
                <w:sz w:val="28"/>
                <w:szCs w:val="28"/>
                <w:lang w:val="zh-CN"/>
              </w:rPr>
              <w:t xml:space="preserve">履约保证金：见采购需求</w:t>
            </w:r>
            <w:r>
              <w:rPr>
                <w:rFonts w:hint="eastAsia" w:ascii="宋体" w:hAnsi="宋体" w:cs="宋体"/>
                <w:sz w:val="28"/>
                <w:szCs w:val="28"/>
                <w:lang w:val="en-US" w:eastAsia="zh-CN"/>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color w:val="auto"/>
                <w:sz w:val="28"/>
                <w:szCs w:val="28"/>
              </w:rPr>
            </w:pPr>
            <w:r>
              <w:rPr>
                <w:rFonts w:hint="eastAsia" w:ascii="宋体" w:hAnsi="宋体" w:cs="宋体"/>
                <w:sz w:val="28"/>
                <w:szCs w:val="28"/>
              </w:rPr>
              <w:t xml:space="preserve">质疑接收人：</w:t>
            </w:r>
            <w:r>
              <w:rPr>
                <w:rFonts w:hint="eastAsia" w:ascii="宋体" w:hAnsi="宋体" w:cs="宋体"/>
                <w:color w:val="auto"/>
                <w:sz w:val="28"/>
                <w:szCs w:val="28"/>
                <w:lang w:val="en-US" w:eastAsia="zh-CN"/>
              </w:rPr>
              <w:t xml:space="preserve">毛松宇</w:t>
            </w:r>
            <w:r>
              <w:rPr>
                <w:rFonts w:hint="eastAsia" w:ascii="宋体" w:hAnsi="宋体" w:cs="宋体"/>
                <w:color w:val="auto"/>
                <w:sz w:val="28"/>
                <w:szCs w:val="28"/>
              </w:rPr>
              <w:t xml:space="preserve">；联系电话：</w:t>
            </w:r>
            <w:r>
              <w:rPr>
                <w:rFonts w:hint="eastAsia" w:ascii="宋体" w:hAnsi="宋体" w:cs="宋体"/>
                <w:color w:val="auto"/>
                <w:sz w:val="28"/>
                <w:szCs w:val="28"/>
                <w:lang w:val="en-US" w:eastAsia="zh-CN"/>
              </w:rPr>
              <w:t xml:space="preserve">13655215954</w:t>
            </w:r>
            <w:r/>
          </w:p>
          <w:p>
            <w:pPr>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徐州市泉山区黄河西路118号淮海大健康产业园18#-2-203</w:t>
            </w:r>
            <w:r>
              <w:rPr>
                <w:rFonts w:hint="eastAsia" w:ascii="宋体" w:hAnsi="宋体" w:cs="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99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lang w:eastAsia="zh-CN"/>
        </w:rPr>
      </w:pPr>
      <w:r>
        <w:rPr>
          <w:rFonts w:hint="eastAsia" w:ascii="宋体" w:hAnsi="宋体" w:eastAsia="宋体" w:cs="宋体"/>
          <w:sz w:val="28"/>
          <w:szCs w:val="28"/>
        </w:rPr>
        <w:t xml:space="preserve">收款人：</w:t>
      </w:r>
      <w:r>
        <w:rPr>
          <w:rFonts w:hint="eastAsia" w:ascii="宋体" w:hAnsi="宋体" w:cs="宋体"/>
          <w:sz w:val="28"/>
          <w:szCs w:val="28"/>
          <w:lang w:eastAsia="zh-CN"/>
        </w:rPr>
        <w:t xml:space="preserve">万人数据科技（徐州）有限公司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开户行：徐州农村商业银行股份有限公司泉山支行（或江苏省农村信用社联合社）</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账号：3203020661010000118063</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highlight w:val="none"/>
          <w:lang w:eastAsia="zh-CN"/>
        </w:rPr>
        <w:t xml:space="preserve">第四章</w:t>
      </w:r>
      <w:r>
        <w:rPr>
          <w:rFonts w:hint="eastAsia" w:ascii="宋体" w:hAnsi="宋体" w:cs="宋体"/>
          <w:b/>
          <w:bCs/>
          <w:sz w:val="30"/>
          <w:szCs w:val="44"/>
          <w:highlight w:val="none"/>
          <w:lang w:val="en-US" w:eastAsia="zh-CN"/>
        </w:rPr>
        <w:t xml:space="preserve"> </w:t>
      </w:r>
      <w:r>
        <w:rPr>
          <w:rFonts w:hint="eastAsia" w:ascii="宋体" w:hAnsi="宋体" w:cs="宋体"/>
          <w:b/>
          <w:bCs/>
          <w:sz w:val="30"/>
          <w:szCs w:val="44"/>
          <w:highlight w:val="none"/>
        </w:rPr>
        <w:t xml:space="preserve">评标标准</w:t>
      </w:r>
      <w:bookmarkEnd w:id="8"/>
      <w:r/>
      <w:bookmarkEnd w:id="9"/>
      <w:r/>
      <w:r/>
    </w:p>
    <w:tbl>
      <w:tblPr>
        <w:tblStyle w:val="674"/>
        <w:tblW w:w="10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6"/>
        <w:gridCol w:w="679"/>
        <w:gridCol w:w="8956"/>
      </w:tblGrid>
      <w:tr>
        <w:trPr>
          <w:cantSplit/>
          <w:jc w:val="center"/>
          <w:trHeight w:val="495"/>
        </w:trPr>
        <w:tc>
          <w:tcPr>
            <w:tcBorders>
              <w:right w:val="single" w:color="auto" w:sz="2" w:space="0"/>
            </w:tcBorders>
            <w:tcW w:w="856"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评审</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因素</w:t>
            </w:r>
            <w:r/>
          </w:p>
        </w:tc>
        <w:tc>
          <w:tcPr>
            <w:tcBorders>
              <w:left w:val="single" w:color="auto" w:sz="2" w:space="0"/>
            </w:tcBorders>
            <w:tcW w:w="679"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分值</w:t>
            </w:r>
            <w:r/>
          </w:p>
        </w:tc>
        <w:tc>
          <w:tcPr>
            <w:tcBorders>
              <w:left w:val="single" w:color="auto" w:sz="2" w:space="0"/>
            </w:tcBorders>
            <w:tcW w:w="8956"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 审 内 容</w:t>
            </w:r>
            <w:r/>
          </w:p>
        </w:tc>
      </w:tr>
      <w:tr>
        <w:trPr>
          <w:cantSplit/>
          <w:jc w:val="center"/>
          <w:trHeight w:val="78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价格</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（10分）</w:t>
            </w:r>
            <w:r/>
          </w:p>
        </w:tc>
        <w:tc>
          <w:tcPr>
            <w:tcBorders>
              <w:left w:val="single" w:color="auto" w:sz="2" w:space="0"/>
            </w:tcBorders>
            <w:tcW w:w="8956" w:type="dxa"/>
            <w:vAlign w:val="center"/>
            <w:textDirection w:val="lrTb"/>
            <w:noWrap w:val="false"/>
          </w:tcPr>
          <w:p>
            <w:pPr>
              <w:ind w:left="105" w:firstLine="560"/>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各投标人价格得分=最低报价（投标人的最低评审价格）÷各投标人评审价格×10。</w:t>
            </w:r>
            <w:r/>
          </w:p>
          <w:p>
            <w:pPr>
              <w:ind w:left="105"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得分四舍五入保留小数点后2位。</w:t>
            </w:r>
            <w:r/>
          </w:p>
        </w:tc>
      </w:tr>
      <w:tr>
        <w:trPr>
          <w:cantSplit/>
          <w:jc w:val="center"/>
          <w:trHeight w:val="1261"/>
        </w:trPr>
        <w:tc>
          <w:tcPr>
            <w:gridSpan w:val="2"/>
            <w:tcW w:w="1535" w:type="dxa"/>
            <w:vAlign w:val="center"/>
            <w:textDirection w:val="lrTb"/>
            <w:noWrap w:val="false"/>
          </w:tcPr>
          <w:p>
            <w:pPr>
              <w:jc w:val="center"/>
              <w:spacing w:line="400" w:lineRule="exact"/>
              <w:widowControl/>
              <w:rPr>
                <w:rFonts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偿付能力</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（11分）</w:t>
            </w:r>
            <w:r/>
          </w:p>
        </w:tc>
        <w:tc>
          <w:tcPr>
            <w:tcBorders>
              <w:left w:val="single" w:color="auto" w:sz="2" w:space="0"/>
            </w:tcBorders>
            <w:tcW w:w="8956" w:type="dxa"/>
            <w:vAlign w:val="center"/>
            <w:textDirection w:val="lrTb"/>
            <w:noWrap w:val="false"/>
          </w:tcPr>
          <w:p>
            <w:pPr>
              <w:ind w:left="105" w:firstLine="560"/>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投标文件中提供投标人总公司经审计的2024年度偿付能力报告或保险监管部门下发的2023年度保险公司综合偿付能力文件扫描件并加盖电子公章</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2023年四季度末综合偿付能力充足率大于等于200%的得11分</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150%-200%（含）得8分, 100%-150%（含）得5分，低于100%得3分。</w:t>
            </w:r>
            <w:r/>
          </w:p>
        </w:tc>
      </w:tr>
      <w:tr>
        <w:trPr>
          <w:cantSplit/>
          <w:jc w:val="center"/>
          <w:trHeight w:val="141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承保经验</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（4分）</w:t>
            </w:r>
            <w:r/>
          </w:p>
        </w:tc>
        <w:tc>
          <w:tcPr>
            <w:tcBorders>
              <w:left w:val="single" w:color="auto" w:sz="2" w:space="0"/>
            </w:tcBorders>
            <w:tcW w:w="8956" w:type="dxa"/>
            <w:vAlign w:val="center"/>
            <w:textDirection w:val="lrTb"/>
            <w:noWrap w:val="false"/>
          </w:tcPr>
          <w:p>
            <w:pPr>
              <w:pStyle w:val="986"/>
              <w:ind w:right="11" w:firstLine="528"/>
              <w:spacing w:before="2"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2022年1月1日以来，投标人公司具有在全国范围内与政府机构合作房屋安全保险的经验，提供与政府机构签订协议或合同的原件扫描件，时间以签订协议的有效期限为准。每</w:t>
            </w:r>
            <w:r>
              <w:rPr>
                <w:rFonts w:hint="eastAsia" w:ascii="宋体" w:hAnsi="宋体" w:cs="宋体"/>
                <w:bCs/>
                <w:color w:val="000000" w:themeColor="text1"/>
                <w:spacing w:val="-8"/>
                <w:sz w:val="28"/>
                <w:szCs w:val="28"/>
                <w14:textFill>
                  <w14:solidFill>
                    <w14:schemeClr w14:val="tx1"/>
                  </w14:solidFill>
                </w14:textFill>
              </w:rPr>
              <w:t xml:space="preserve">有1个承保经验得2分，最高得4分，没有不得分。</w:t>
            </w:r>
            <w:r/>
          </w:p>
          <w:p>
            <w:pPr>
              <w:ind w:left="105" w:firstLine="528"/>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投标文件中</w:t>
            </w:r>
            <w:r>
              <w:rPr>
                <w:rFonts w:hint="eastAsia" w:ascii="宋体" w:hAnsi="宋体" w:cs="宋体"/>
                <w:bCs/>
                <w:color w:val="000000" w:themeColor="text1"/>
                <w:sz w:val="28"/>
                <w:szCs w:val="28"/>
                <w14:textFill>
                  <w14:solidFill>
                    <w14:schemeClr w14:val="tx1"/>
                  </w14:solidFill>
                </w14:textFill>
              </w:rPr>
              <w:t xml:space="preserve">提供</w:t>
            </w:r>
            <w:r>
              <w:rPr>
                <w:rFonts w:hint="eastAsia" w:ascii="宋体" w:hAnsi="宋体" w:cs="宋体"/>
                <w:color w:val="000000" w:themeColor="text1"/>
                <w:spacing w:val="-8"/>
                <w:sz w:val="28"/>
                <w:szCs w:val="28"/>
                <w14:textFill>
                  <w14:solidFill>
                    <w14:schemeClr w14:val="tx1"/>
                  </w14:solidFill>
                </w14:textFill>
              </w:rPr>
              <w:t xml:space="preserve">合同的</w:t>
            </w:r>
            <w:r>
              <w:rPr>
                <w:rFonts w:hint="eastAsia" w:ascii="宋体" w:hAnsi="宋体" w:cs="宋体"/>
                <w:bCs/>
                <w:color w:val="000000" w:themeColor="text1"/>
                <w:sz w:val="28"/>
                <w:szCs w:val="28"/>
                <w14:textFill>
                  <w14:solidFill>
                    <w14:schemeClr w14:val="tx1"/>
                  </w14:solidFill>
                </w14:textFill>
              </w:rPr>
              <w:t xml:space="preserve">原件扫描件并加盖电子公章方为有效</w:t>
            </w:r>
            <w:r>
              <w:rPr>
                <w:rFonts w:hint="eastAsia" w:ascii="宋体" w:hAnsi="宋体" w:cs="宋体"/>
                <w:bCs/>
                <w:color w:val="000000" w:themeColor="text1"/>
                <w:spacing w:val="-8"/>
                <w:sz w:val="28"/>
                <w:szCs w:val="28"/>
                <w14:textFill>
                  <w14:solidFill>
                    <w14:schemeClr w14:val="tx1"/>
                  </w14:solidFill>
                </w14:textFill>
              </w:rPr>
              <w:t xml:space="preserve">。</w:t>
            </w:r>
            <w:r/>
          </w:p>
        </w:tc>
      </w:tr>
      <w:tr>
        <w:trPr>
          <w:cantSplit/>
          <w:jc w:val="center"/>
          <w:trHeight w:val="684"/>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服务团队(10分）</w:t>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综合评估项目服务人员经验、服务能力及分工情况：</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内容完整，人员配置科学合理，符合项目特点，针对性强的得10分；内容较完整，人员配置较科学合理，基本符合项目特点，针对性一般的得7分；内容欠完整，科学合理性一般，缺乏针对性的得4分；</w:t>
            </w:r>
            <w:r>
              <w:rPr>
                <w:rFonts w:hint="eastAsia" w:ascii="宋体" w:hAnsi="宋体" w:cs="宋体"/>
                <w:color w:val="000000" w:themeColor="text1"/>
                <w:sz w:val="28"/>
                <w:szCs w:val="28"/>
                <w14:textFill>
                  <w14:solidFill>
                    <w14:schemeClr w14:val="tx1"/>
                  </w14:solidFill>
                </w14:textFill>
              </w:rPr>
              <w:t xml:space="preserve">内容欠缺的得1分；最高得10分，未提供的不得分。</w:t>
            </w:r>
            <w:r/>
          </w:p>
        </w:tc>
      </w:tr>
      <w:tr>
        <w:trPr>
          <w:cantSplit/>
          <w:jc w:val="center"/>
          <w:trHeight w:val="254"/>
        </w:trPr>
        <w:tc>
          <w:tcPr>
            <w:gridSpan w:val="2"/>
            <w:tcW w:w="1535" w:type="dxa"/>
            <w:vAlign w:val="center"/>
            <w:vMerge w:val="restart"/>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理赔服务</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方案（20分）</w:t>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理赔流程是否合理明确：</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配置合理、符合项目特点、针对性强的得4分；配置基本合理、较符合项目特点、针对性一般的得3分；配置不合理，不符合项目特点，缺乏针对性的得2分；最高得4分，</w:t>
            </w:r>
            <w:r>
              <w:rPr>
                <w:rFonts w:hint="eastAsia" w:ascii="宋体" w:hAnsi="宋体" w:cs="宋体"/>
                <w:color w:val="000000" w:themeColor="text1"/>
                <w:sz w:val="28"/>
                <w:szCs w:val="28"/>
                <w14:textFill>
                  <w14:solidFill>
                    <w14:schemeClr w14:val="tx1"/>
                  </w14:solidFill>
                </w14:textFill>
              </w:rPr>
              <w:t xml:space="preserve">未提供的不得分。</w:t>
            </w:r>
            <w:r/>
          </w:p>
        </w:tc>
      </w:tr>
      <w:tr>
        <w:trPr>
          <w:cantSplit/>
          <w:jc w:val="center"/>
          <w:trHeight w:val="254"/>
        </w:trPr>
        <w:tc>
          <w:tcPr>
            <w:gridSpan w:val="2"/>
            <w:tcW w:w="1535" w:type="dxa"/>
            <w:vAlign w:val="center"/>
            <w:vMerge w:val="continue"/>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考察是否有专门的理赔专员及专业技术能力：</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内容完整，人员配置符合项目特点，针对性强的得4分；内容较完整，人员配置基本符合项目特点，针对性一般的得3分；内容欠完整，缺乏针对性的得2分；</w:t>
            </w:r>
            <w:r>
              <w:rPr>
                <w:rFonts w:hint="eastAsia" w:ascii="宋体" w:hAnsi="宋体" w:cs="宋体"/>
                <w:bCs/>
                <w:color w:val="000000" w:themeColor="text1"/>
                <w:spacing w:val="-8"/>
                <w:sz w:val="28"/>
                <w:szCs w:val="28"/>
                <w14:textFill>
                  <w14:solidFill>
                    <w14:schemeClr w14:val="tx1"/>
                  </w14:solidFill>
                </w14:textFill>
              </w:rPr>
              <w:t xml:space="preserve">最高得4分，</w:t>
            </w:r>
            <w:r>
              <w:rPr>
                <w:rFonts w:hint="eastAsia" w:ascii="宋体" w:hAnsi="宋体" w:cs="宋体"/>
                <w:color w:val="000000" w:themeColor="text1"/>
                <w:sz w:val="28"/>
                <w:szCs w:val="28"/>
                <w14:textFill>
                  <w14:solidFill>
                    <w14:schemeClr w14:val="tx1"/>
                  </w14:solidFill>
                </w14:textFill>
              </w:rPr>
              <w:t xml:space="preserve">未提供的不得分。</w:t>
            </w:r>
            <w:r/>
          </w:p>
        </w:tc>
      </w:tr>
      <w:tr>
        <w:trPr>
          <w:cantSplit/>
          <w:jc w:val="center"/>
          <w:trHeight w:val="90"/>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理赔时效，根据时效的长短，酌情计分：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1763"/>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理赔争议处理机制，考察是否建立理赔争议处理机制，根据优劣程度，酌情计分：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254"/>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预付赔款金额，根据设置的预付赔款比例，根据优劣程度，酌情计分：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1729"/>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风险减量（10分）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根据投标人对房屋安全隐患排查、动态监测等风险减量服务内容的全面性、实用性、可操作性、科学性及服务频次等，酌情计分：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内容科学全面、合理、针对性强的得10分；内容较科学、较为全面、较为合理、针对性较强的得</w:t>
            </w:r>
            <w:r>
              <w:rPr>
                <w:rFonts w:hint="eastAsia" w:ascii="宋体" w:hAnsi="宋体" w:cs="宋体"/>
                <w:color w:val="000000" w:themeColor="text1"/>
                <w:sz w:val="28"/>
                <w:szCs w:val="28"/>
                <w:lang w:val="en-US" w:eastAsia="zh-CN"/>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分；内容不太科学、不太全面合理、针对性一般的得</w:t>
            </w:r>
            <w:r>
              <w:rPr>
                <w:rFonts w:hint="eastAsia" w:ascii="宋体" w:hAnsi="宋体" w:cs="宋体"/>
                <w:color w:val="000000" w:themeColor="text1"/>
                <w:sz w:val="28"/>
                <w:szCs w:val="28"/>
                <w:lang w:val="en-US" w:eastAsia="zh-CN"/>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分；内容欠缺的得1分；最高得10分，未提供的不得分。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服务机构（10分）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根据投标人委托的监测机构的</w:t>
            </w:r>
            <w:r>
              <w:rPr>
                <w:rFonts w:hint="eastAsia" w:ascii="宋体" w:hAnsi="宋体" w:cs="宋体"/>
                <w:bCs/>
                <w:color w:val="000000" w:themeColor="text1"/>
                <w:spacing w:val="-8"/>
                <w:sz w:val="28"/>
                <w:szCs w:val="28"/>
                <w14:textFill>
                  <w14:solidFill>
                    <w14:schemeClr w14:val="tx1"/>
                  </w14:solidFill>
                </w14:textFill>
              </w:rPr>
              <w:t xml:space="preserve">资质、服务</w:t>
            </w:r>
            <w:r>
              <w:rPr>
                <w:rFonts w:hint="eastAsia" w:ascii="宋体" w:hAnsi="宋体" w:cs="宋体"/>
                <w:color w:val="000000" w:themeColor="text1"/>
                <w:sz w:val="28"/>
                <w:szCs w:val="28"/>
                <w14:textFill>
                  <w14:solidFill>
                    <w14:schemeClr w14:val="tx1"/>
                  </w14:solidFill>
                </w14:textFill>
              </w:rPr>
              <w:t xml:space="preserve">团队构成、内部制度、监测系统功能建设、信息化管理等，酌情计分：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内容科学全面、合理、针对性强的得10分；内容较科学、较为全面、较为合理、针对性较强的得</w:t>
            </w:r>
            <w:r>
              <w:rPr>
                <w:rFonts w:hint="eastAsia" w:ascii="宋体" w:hAnsi="宋体" w:cs="宋体"/>
                <w:color w:val="000000" w:themeColor="text1"/>
                <w:sz w:val="28"/>
                <w:szCs w:val="28"/>
                <w:lang w:val="en-US" w:eastAsia="zh-CN"/>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分；内容不太科学、不太全面合理、针对性一般的得</w:t>
            </w:r>
            <w:r>
              <w:rPr>
                <w:rFonts w:hint="eastAsia" w:ascii="宋体" w:hAnsi="宋体" w:cs="宋体"/>
                <w:color w:val="000000" w:themeColor="text1"/>
                <w:sz w:val="28"/>
                <w:szCs w:val="28"/>
                <w:lang w:val="en-US" w:eastAsia="zh-CN"/>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分；内容欠缺的得1分；最高得10分，未提供的不得分。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服务评估（5分）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根据投标人对监测机构的考核标准、考核制度酌情计分：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内容科学全面、合理、针对性强的得5分；内容较科学、较为全面、较为合理、针对性较强的得3分；内容不太科学、不太全面合理、针对性一般的得2分；内容欠缺的得1分；最高得5分，未提供的不得分。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color w:val="000000" w:themeColor="text1"/>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宣传服务（6分）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根据投标人开展房屋安全宣传工作中的服务方案酌情评分：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内容科学全面、合理、针对性强的得6分；内容较科学、较为全面、较为合理、针对性较强的得4分；内容不太科学、不太全面合理、针对性一般的得2分；内容欠缺的得1分；最高得6分，未提供的不得分。</w:t>
            </w:r>
            <w:r/>
          </w:p>
        </w:tc>
      </w:tr>
      <w:tr>
        <w:trPr>
          <w:cantSplit/>
          <w:jc w:val="center"/>
          <w:trHeight w:val="1786"/>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咨询服务</w:t>
            </w:r>
            <w:r/>
          </w:p>
          <w:p>
            <w:pPr>
              <w:jc w:val="center"/>
              <w:spacing w:line="400" w:lineRule="exact"/>
              <w:widowControl/>
              <w:rPr>
                <w:color w:val="000000" w:themeColor="text1"/>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根据投标人为投保人在房屋养老金制度和房屋安全保险制度的建立及完善过程中提供的咨询服务方案酌情评分：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内容科学全面、合理、针对性强的得8分；内容较科学、较为全面、较为合理、针对性较强的得5分；内容不太科学、不太全面合理、针对性一般的得3分；内容欠缺的得1分；最高得8分，未提供的不得分</w:t>
            </w:r>
            <w:r>
              <w:rPr>
                <w:rFonts w:hint="eastAsia"/>
                <w:color w:val="000000" w:themeColor="text1"/>
                <w:sz w:val="24"/>
                <w14:textFill>
                  <w14:solidFill>
                    <w14:schemeClr w14:val="tx1"/>
                  </w14:solidFill>
                </w14:textFill>
              </w:rPr>
              <w:t xml:space="preserve">。</w:t>
            </w:r>
            <w:r/>
          </w:p>
        </w:tc>
      </w:tr>
      <w:tr>
        <w:trPr>
          <w:cantSplit/>
          <w:jc w:val="center"/>
          <w:trHeight w:val="227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综合评价（6分）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根据投标文件的编制、公司评价、本项目的再保安排、以往合作情况、相关澄清（如有）、专业人员配置及其经验等情况，酌情评分：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内容科学全面、合理、针对性强的得6分；内容较科学、较为全面、较为合理、针对性较强的得4分；内容不太科学、不太全面合理、针对性一般的得2分；内容欠缺的得1分</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最高得6分，未提供的不得分。</w:t>
            </w:r>
            <w:r/>
          </w:p>
        </w:tc>
      </w:tr>
    </w:tbl>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本章说明：</w:t>
      </w:r>
      <w:r/>
    </w:p>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（一）本项目采用综合评分法。</w:t>
      </w:r>
      <w:r/>
    </w:p>
    <w:p>
      <w:pPr>
        <w:pStyle w:val="721"/>
        <w:ind w:left="0" w:firstLine="0"/>
        <w:spacing w:line="360" w:lineRule="auto"/>
        <w:rPr>
          <w:rFonts w:ascii="宋体" w:hAnsi="宋体" w:cs="仿宋_GB2312"/>
          <w:sz w:val="28"/>
          <w:szCs w:val="28"/>
        </w:rPr>
      </w:pPr>
      <w:r>
        <w:rPr>
          <w:rFonts w:hint="eastAsia" w:ascii="宋体" w:hAnsi="宋体" w:eastAsia="宋体" w:cs="Times New Roman"/>
          <w:sz w:val="28"/>
          <w:szCs w:val="28"/>
          <w:lang w:val="en-US" w:eastAsia="zh-CN" w:bidi="ar-SA"/>
        </w:rPr>
        <w:t xml:space="preserve">（二）促进中小微企业发展政策：根据《政府采购促进中小企业发展管理办法》规定，对小、微型企业产品</w:t>
      </w:r>
      <w:r>
        <w:rPr>
          <w:rFonts w:hint="eastAsia" w:ascii="宋体" w:hAnsi="宋体"/>
          <w:sz w:val="28"/>
          <w:szCs w:val="28"/>
        </w:rPr>
        <w:t xml:space="preserve">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84"/>
        <w:rPr>
          <w:rFonts w:hint="eastAsia" w:ascii="宋体" w:hAnsi="宋体" w:eastAsia="宋体" w:cs="宋体"/>
          <w:sz w:val="24"/>
        </w:rPr>
      </w:pPr>
      <w:r/>
      <w:bookmarkStart w:id="10" w:name="_Toc522790134"/>
      <w:r/>
      <w:bookmarkStart w:id="11"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23"/>
        <w:rPr>
          <w:rFonts w:hint="eastAsia" w:ascii="宋体" w:hAnsi="宋体" w:cs="宋体"/>
          <w:sz w:val="28"/>
          <w:szCs w:val="28"/>
        </w:rPr>
      </w:pPr>
      <w:r>
        <w:rPr>
          <w:rFonts w:hint="eastAsia" w:ascii="宋体" w:hAnsi="宋体" w:cs="宋体"/>
          <w:sz w:val="28"/>
          <w:szCs w:val="28"/>
        </w:rPr>
        <w:t xml:space="preserve">项目名称：</w:t>
      </w:r>
      <w:r/>
    </w:p>
    <w:p>
      <w:pPr>
        <w:pStyle w:val="923"/>
        <w:rPr>
          <w:rFonts w:hint="eastAsia" w:ascii="宋体" w:hAnsi="宋体" w:cs="宋体"/>
          <w:sz w:val="28"/>
          <w:szCs w:val="28"/>
        </w:rPr>
      </w:pPr>
      <w:r>
        <w:rPr>
          <w:rFonts w:hint="eastAsia" w:ascii="宋体" w:hAnsi="宋体" w:cs="宋体"/>
          <w:sz w:val="28"/>
          <w:szCs w:val="28"/>
        </w:rPr>
        <w:t xml:space="preserve">项目编号：</w:t>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t xml:space="preserve">合</w:t>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t xml:space="preserve">同</w:t>
      </w:r>
      <w:r/>
    </w:p>
    <w:p>
      <w:pPr>
        <w:pStyle w:val="923"/>
        <w:rPr>
          <w:rFonts w:hint="eastAsia" w:ascii="宋体" w:hAnsi="宋体" w:cs="宋体"/>
        </w:rPr>
      </w:pPr>
      <w:r>
        <w:rPr>
          <w:rFonts w:hint="eastAsia" w:ascii="宋体" w:hAnsi="宋体" w:cs="宋体"/>
        </w:rPr>
      </w:r>
      <w:r/>
    </w:p>
    <w:p>
      <w:pPr>
        <w:pStyle w:val="923"/>
        <w:rPr>
          <w:rFonts w:hint="eastAsia" w:ascii="宋体" w:hAnsi="宋体" w:cs="宋体"/>
        </w:rPr>
      </w:pPr>
      <w:r>
        <w:rPr>
          <w:rFonts w:hint="eastAsia" w:ascii="宋体" w:hAnsi="宋体" w:cs="宋体"/>
        </w:rPr>
      </w:r>
      <w:r/>
    </w:p>
    <w:p>
      <w:pPr>
        <w:pStyle w:val="675"/>
        <w:ind w:left="0" w:firstLine="0"/>
        <w:rPr>
          <w:rFonts w:hint="eastAsia" w:ascii="宋体" w:hAnsi="宋体" w:cs="宋体"/>
        </w:rPr>
      </w:pPr>
      <w:r>
        <w:rPr>
          <w:rFonts w:hint="eastAsia" w:ascii="宋体" w:hAnsi="宋体" w:cs="宋体"/>
        </w:rPr>
      </w:r>
      <w:r/>
    </w:p>
    <w:p>
      <w:pPr>
        <w:pStyle w:val="923"/>
        <w:rPr>
          <w:rFonts w:hint="eastAsia" w:ascii="宋体" w:hAnsi="宋体" w:cs="宋体"/>
        </w:rPr>
      </w:pPr>
      <w:r>
        <w:rPr>
          <w:rFonts w:hint="eastAsia" w:ascii="宋体" w:hAnsi="宋体" w:cs="宋体"/>
        </w:rPr>
      </w:r>
      <w:r/>
    </w:p>
    <w:p>
      <w:pPr>
        <w:pStyle w:val="923"/>
        <w:jc w:val="left"/>
        <w:rPr>
          <w:rFonts w:hint="eastAsia" w:ascii="宋体" w:hAnsi="宋体" w:cs="宋体"/>
          <w:sz w:val="28"/>
          <w:szCs w:val="28"/>
        </w:rPr>
      </w:pPr>
      <w:r>
        <w:rPr>
          <w:rFonts w:hint="eastAsia" w:ascii="宋体" w:hAnsi="宋体" w:cs="宋体"/>
          <w:sz w:val="28"/>
          <w:szCs w:val="28"/>
        </w:rPr>
        <w:t xml:space="preserve">采  购  人：</w:t>
      </w:r>
      <w:r/>
    </w:p>
    <w:p>
      <w:pPr>
        <w:pStyle w:val="923"/>
        <w:jc w:val="left"/>
        <w:rPr>
          <w:rFonts w:hint="eastAsia" w:ascii="宋体" w:hAnsi="宋体" w:cs="宋体"/>
          <w:sz w:val="28"/>
          <w:szCs w:val="28"/>
        </w:rPr>
      </w:pPr>
      <w:r>
        <w:rPr>
          <w:rFonts w:hint="eastAsia" w:ascii="宋体" w:hAnsi="宋体" w:cs="宋体"/>
          <w:sz w:val="28"/>
          <w:szCs w:val="28"/>
          <w:lang w:eastAsia="zh-CN"/>
        </w:rPr>
        <w:t xml:space="preserve">中标</w:t>
      </w:r>
      <w:r>
        <w:rPr>
          <w:rFonts w:hint="eastAsia" w:ascii="宋体" w:hAnsi="宋体" w:cs="宋体"/>
          <w:sz w:val="28"/>
          <w:szCs w:val="28"/>
        </w:rPr>
        <w:t xml:space="preserve">供应商：</w:t>
      </w:r>
      <w:r/>
    </w:p>
    <w:p>
      <w:pPr>
        <w:pStyle w:val="923"/>
        <w:jc w:val="left"/>
        <w:rPr>
          <w:rFonts w:hint="eastAsia" w:ascii="宋体" w:hAnsi="宋体" w:cs="宋体"/>
          <w:sz w:val="28"/>
          <w:szCs w:val="28"/>
        </w:rPr>
      </w:pPr>
      <w:r>
        <w:rPr>
          <w:rFonts w:hint="eastAsia" w:ascii="宋体" w:hAnsi="宋体" w:cs="宋体"/>
          <w:sz w:val="28"/>
          <w:szCs w:val="28"/>
        </w:rPr>
        <w:t xml:space="preserve">合同签订日期： 年</w:t>
      </w:r>
      <w:r>
        <w:rPr>
          <w:rFonts w:hint="eastAsia" w:ascii="宋体" w:hAnsi="宋体" w:cs="宋体"/>
          <w:sz w:val="28"/>
          <w:szCs w:val="28"/>
          <w:lang w:val="en-US" w:eastAsia="zh-CN"/>
        </w:rPr>
        <w:t xml:space="preserve"> </w:t>
      </w:r>
      <w:r>
        <w:rPr>
          <w:rFonts w:hint="eastAsia" w:ascii="宋体" w:hAnsi="宋体" w:cs="宋体"/>
          <w:sz w:val="28"/>
          <w:szCs w:val="28"/>
        </w:rPr>
        <w:t xml:space="preserve"> 月</w:t>
      </w:r>
      <w:r>
        <w:rPr>
          <w:rFonts w:hint="eastAsia" w:ascii="宋体" w:hAnsi="宋体" w:cs="宋体"/>
          <w:sz w:val="28"/>
          <w:szCs w:val="28"/>
          <w:lang w:val="en-US" w:eastAsia="zh-CN"/>
        </w:rPr>
        <w:t xml:space="preserve"> </w:t>
      </w:r>
      <w:r>
        <w:rPr>
          <w:rFonts w:hint="eastAsia" w:ascii="宋体" w:hAnsi="宋体" w:cs="宋体"/>
          <w:sz w:val="28"/>
          <w:szCs w:val="28"/>
        </w:rPr>
        <w:t xml:space="preserve">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2"/>
        <w:keepLines w:val="0"/>
        <w:keepNext w:val="0"/>
        <w:pageBreakBefore w:val="0"/>
        <w:widowControl w:val="off"/>
        <w:rPr>
          <w:rFonts w:ascii="宋体" w:hAnsi="宋体" w:cs="宋体"/>
          <w:color w:val="000000" w:themeColor="text1"/>
          <w:sz w:val="28"/>
          <w:szCs w:val="28"/>
          <w14:textFill>
            <w14:solidFill>
              <w14:schemeClr w14:val="tx1"/>
            </w14:solidFill>
          </w14:textFill>
        </w:rPr>
      </w:pPr>
      <w:r/>
      <w:bookmarkStart w:id="12" w:name="_Toc523404700"/>
      <w:r/>
      <w:bookmarkStart w:id="13" w:name="OLE_LINK1"/>
      <w:r/>
      <w:bookmarkStart w:id="14" w:name="_Toc522790135"/>
      <w:r>
        <w:rPr>
          <w:rFonts w:hint="eastAsia" w:ascii="宋体" w:hAnsi="宋体" w:eastAsia="宋体" w:cs="宋体"/>
          <w:b/>
          <w:bCs/>
          <w:sz w:val="30"/>
          <w:szCs w:val="44"/>
        </w:rPr>
        <w:br w:type="page" w:clear="all"/>
      </w:r>
      <w:r>
        <w:rPr>
          <w:rFonts w:hint="eastAsia" w:ascii="宋体" w:hAnsi="宋体" w:cs="宋体"/>
          <w:color w:val="000000" w:themeColor="text1"/>
          <w:sz w:val="28"/>
          <w:szCs w:val="28"/>
          <w14:textFill>
            <w14:solidFill>
              <w14:schemeClr w14:val="tx1"/>
            </w14:solidFill>
          </w14:textFill>
        </w:rPr>
        <w:t xml:space="preserve">本保险合同、批单、乙方投标文件及其它相关文件等都作为徐州市泉山区</w:t>
      </w:r>
      <w:r>
        <w:rPr>
          <w:rFonts w:hint="eastAsia" w:ascii="宋体" w:hAnsi="宋体" w:cs="宋体"/>
          <w:color w:val="000000" w:themeColor="text1"/>
          <w:sz w:val="28"/>
          <w:szCs w:val="28"/>
          <w:lang w:eastAsia="zh-CN"/>
          <w14:textFill>
            <w14:solidFill>
              <w14:schemeClr w14:val="tx1"/>
            </w14:solidFill>
          </w14:textFill>
        </w:rPr>
        <w:t xml:space="preserve">购买泉山区老旧房屋安全保险服务</w:t>
      </w:r>
      <w:r>
        <w:rPr>
          <w:rFonts w:hint="eastAsia" w:ascii="宋体" w:hAnsi="宋体" w:cs="宋体"/>
          <w:color w:val="000000" w:themeColor="text1"/>
          <w:sz w:val="28"/>
          <w:szCs w:val="28"/>
          <w14:textFill>
            <w14:solidFill>
              <w14:schemeClr w14:val="tx1"/>
            </w14:solidFill>
          </w14:textFill>
        </w:rPr>
        <w:t xml:space="preserve">项目合同的有效组成部分，上述文件互为补充及解释，如有冲突之处，以最新生效的一份文件内容为准。</w:t>
      </w:r>
      <w:r/>
    </w:p>
    <w:p>
      <w:pPr>
        <w:pStyle w:val="678"/>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甲方：</w:t>
      </w:r>
      <w:r/>
    </w:p>
    <w:p>
      <w:pPr>
        <w:pStyle w:val="678"/>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乙方：</w:t>
      </w:r>
      <w:r/>
    </w:p>
    <w:p>
      <w:pPr>
        <w:pStyle w:val="678"/>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甲方和乙方就徐州市泉山区</w:t>
      </w:r>
      <w:r>
        <w:rPr>
          <w:rFonts w:hint="eastAsia" w:ascii="宋体" w:hAnsi="宋体" w:cs="宋体"/>
          <w:color w:val="000000" w:themeColor="text1"/>
          <w:sz w:val="28"/>
          <w:szCs w:val="28"/>
          <w:lang w:eastAsia="zh-CN"/>
          <w14:textFill>
            <w14:solidFill>
              <w14:schemeClr w14:val="tx1"/>
            </w14:solidFill>
          </w14:textFill>
        </w:rPr>
        <w:t xml:space="preserve">购买泉山区老旧房屋安全保险服务</w:t>
      </w:r>
      <w:r>
        <w:rPr>
          <w:rFonts w:hint="eastAsia" w:ascii="宋体" w:hAnsi="宋体" w:cs="宋体"/>
          <w:color w:val="000000" w:themeColor="text1"/>
          <w:sz w:val="28"/>
          <w:szCs w:val="28"/>
          <w14:textFill>
            <w14:solidFill>
              <w14:schemeClr w14:val="tx1"/>
            </w14:solidFill>
          </w14:textFill>
        </w:rPr>
        <w:t xml:space="preserve">项目采购事宜，经友好协商签订如下合同，以兹共同遵守。</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保险期限：</w:t>
      </w:r>
      <w:r>
        <w:rPr>
          <w:rFonts w:hint="eastAsia" w:ascii="宋体" w:hAnsi="宋体" w:cs="宋体"/>
          <w:color w:val="000000" w:themeColor="text1"/>
          <w:sz w:val="28"/>
          <w:szCs w:val="28"/>
          <w14:textFill>
            <w14:solidFill>
              <w14:schemeClr w14:val="tx1"/>
            </w14:solidFill>
          </w14:textFill>
        </w:rPr>
        <w:t xml:space="preserve">自  年  月  日零时起至   年  月  日二十四时止。</w:t>
      </w:r>
      <w:r/>
    </w:p>
    <w:p>
      <w:pPr>
        <w:ind w:firstLine="703"/>
        <w:spacing w:line="440" w:lineRule="exact"/>
        <w:rPr>
          <w:rFonts w:ascii="宋体" w:hAnsi="宋体" w:cs="宋体"/>
          <w:b/>
          <w:color w:val="000000" w:themeColor="text1"/>
          <w:sz w:val="28"/>
          <w:szCs w:val="28"/>
          <w:highlight w:val="white"/>
          <w14:textFill>
            <w14:solidFill>
              <w14:schemeClr w14:val="tx1"/>
            </w14:solidFill>
          </w14:textFill>
        </w:rPr>
      </w:pPr>
      <w:r>
        <w:rPr>
          <w:rFonts w:hint="eastAsia" w:ascii="宋体" w:hAnsi="宋体" w:cs="宋体"/>
          <w:b/>
          <w:color w:val="000000" w:themeColor="text1"/>
          <w:sz w:val="28"/>
          <w:szCs w:val="28"/>
          <w:highlight w:val="white"/>
          <w14:textFill>
            <w14:solidFill>
              <w14:schemeClr w14:val="tx1"/>
            </w14:solidFill>
          </w14:textFill>
        </w:rPr>
        <w:t xml:space="preserve">一、商业保险部分</w:t>
      </w:r>
      <w:r/>
    </w:p>
    <w:p>
      <w:pPr>
        <w:ind w:firstLine="562"/>
        <w:spacing w:line="440" w:lineRule="exact"/>
        <w:rPr>
          <w:rFonts w:ascii="宋体" w:hAnsi="宋体" w:cs="宋体"/>
          <w:b/>
          <w:color w:val="000000" w:themeColor="text1"/>
          <w:sz w:val="28"/>
          <w:szCs w:val="28"/>
          <w:highlight w:val="white"/>
          <w14:textFill>
            <w14:solidFill>
              <w14:schemeClr w14:val="tx1"/>
            </w14:solidFill>
          </w14:textFill>
        </w:rPr>
      </w:pPr>
      <w:r>
        <w:rPr>
          <w:rFonts w:hint="eastAsia" w:ascii="宋体" w:hAnsi="宋体" w:cs="宋体"/>
          <w:b/>
          <w:color w:val="000000" w:themeColor="text1"/>
          <w:sz w:val="28"/>
          <w:szCs w:val="28"/>
          <w:highlight w:val="white"/>
          <w14:textFill>
            <w14:solidFill>
              <w14:schemeClr w14:val="tx1"/>
            </w14:solidFill>
          </w14:textFill>
        </w:rPr>
        <w:t xml:space="preserve">（一）保险范围</w:t>
      </w:r>
      <w:r/>
    </w:p>
    <w:p>
      <w:pPr>
        <w:pStyle w:val="982"/>
        <w:jc w:val="left"/>
        <w:spacing w:line="440" w:lineRule="exact"/>
        <w:widowControl/>
        <w:tabs>
          <w:tab w:val="left" w:pos="709" w:leader="none"/>
          <w:tab w:val="left" w:pos="851" w:leader="none"/>
        </w:tabs>
        <w:rPr>
          <w:rFonts w:ascii="宋体" w:hAnsi="宋体" w:cs="宋体"/>
          <w:color w:val="000000" w:themeColor="text1"/>
          <w:sz w:val="28"/>
          <w:szCs w:val="28"/>
          <w:highlight w:val="white"/>
          <w14:textFill>
            <w14:solidFill>
              <w14:schemeClr w14:val="tx1"/>
            </w14:solidFill>
          </w14:textFill>
        </w:rPr>
        <w:outlineLvl w:val="2"/>
      </w:pPr>
      <w:r>
        <w:rPr>
          <w:rFonts w:hint="eastAsia" w:ascii="宋体" w:hAnsi="宋体" w:cs="宋体"/>
          <w:color w:val="000000" w:themeColor="text1"/>
          <w:sz w:val="28"/>
          <w:szCs w:val="28"/>
          <w:highlight w:val="white"/>
          <w14:textFill>
            <w14:solidFill>
              <w14:schemeClr w14:val="tx1"/>
            </w14:solidFill>
          </w14:textFill>
        </w:rPr>
        <w:t xml:space="preserve">城镇住房综合保险：泉山区行政辖区内建造于2002年之前多业主住宅全部投保老旧房屋的安全保险（整体约</w:t>
      </w:r>
      <w:r>
        <w:rPr>
          <w:rFonts w:hint="eastAsia" w:ascii="宋体" w:hAnsi="宋体" w:cs="宋体"/>
          <w:color w:val="000000" w:themeColor="text1"/>
          <w:sz w:val="28"/>
          <w:szCs w:val="28"/>
          <w:highlight w:val="white"/>
          <w:lang w:val="en-US" w:eastAsia="zh-CN"/>
          <w14:textFill>
            <w14:solidFill>
              <w14:schemeClr w14:val="tx1"/>
            </w14:solidFill>
          </w14:textFill>
        </w:rPr>
        <w:t xml:space="preserve">3249</w:t>
      </w:r>
      <w:r>
        <w:rPr>
          <w:rFonts w:hint="eastAsia" w:ascii="宋体" w:hAnsi="宋体" w:cs="宋体"/>
          <w:color w:val="000000" w:themeColor="text1"/>
          <w:sz w:val="28"/>
          <w:szCs w:val="28"/>
          <w:highlight w:val="white"/>
          <w14:textFill>
            <w14:solidFill>
              <w14:schemeClr w14:val="tx1"/>
            </w14:solidFill>
          </w14:textFill>
        </w:rPr>
        <w:t xml:space="preserve">幢，建筑面积约</w:t>
      </w:r>
      <w:r>
        <w:rPr>
          <w:rFonts w:hint="eastAsia" w:ascii="宋体" w:hAnsi="宋体" w:cs="宋体"/>
          <w:color w:val="000000" w:themeColor="text1"/>
          <w:sz w:val="28"/>
          <w:szCs w:val="28"/>
          <w:highlight w:val="white"/>
          <w:lang w:val="en-US" w:eastAsia="zh-CN"/>
          <w14:textFill>
            <w14:solidFill>
              <w14:schemeClr w14:val="tx1"/>
            </w14:solidFill>
          </w14:textFill>
        </w:rPr>
        <w:t xml:space="preserve">1058.92</w:t>
      </w:r>
      <w:r>
        <w:rPr>
          <w:rFonts w:hint="eastAsia" w:ascii="宋体" w:hAnsi="宋体" w:cs="宋体"/>
          <w:color w:val="000000" w:themeColor="text1"/>
          <w:sz w:val="28"/>
          <w:szCs w:val="28"/>
          <w:highlight w:val="white"/>
          <w14:textFill>
            <w14:solidFill>
              <w14:schemeClr w14:val="tx1"/>
            </w14:solidFill>
          </w14:textFill>
        </w:rPr>
        <w:t xml:space="preserve">万平方米，最终参保数量以投保人向保险人提交的投保清单为准）。</w:t>
      </w:r>
      <w:r/>
    </w:p>
    <w:p>
      <w:pPr>
        <w:ind w:firstLine="562"/>
        <w:spacing w:line="440" w:lineRule="exact"/>
        <w:rPr>
          <w:rFonts w:ascii="宋体" w:hAnsi="宋体" w:cs="宋体"/>
          <w:b/>
          <w:color w:val="000000" w:themeColor="text1"/>
          <w:sz w:val="28"/>
          <w:szCs w:val="28"/>
          <w:highlight w:val="white"/>
          <w14:textFill>
            <w14:solidFill>
              <w14:schemeClr w14:val="tx1"/>
            </w14:solidFill>
          </w14:textFill>
        </w:rPr>
      </w:pPr>
      <w:r>
        <w:rPr>
          <w:rFonts w:hint="eastAsia" w:ascii="宋体" w:hAnsi="宋体" w:cs="宋体"/>
          <w:b/>
          <w:color w:val="000000" w:themeColor="text1"/>
          <w:sz w:val="28"/>
          <w:szCs w:val="28"/>
          <w:highlight w:val="white"/>
          <w14:textFill>
            <w14:solidFill>
              <w14:schemeClr w14:val="tx1"/>
            </w14:solidFill>
          </w14:textFill>
        </w:rPr>
        <w:t xml:space="preserve">（二）主要的保障内容</w:t>
      </w:r>
      <w:r/>
    </w:p>
    <w:p>
      <w:pPr>
        <w:ind w:firstLine="560"/>
        <w:spacing w:line="440" w:lineRule="exact"/>
        <w:rPr>
          <w:rFonts w:ascii="宋体" w:hAnsi="宋体" w:cs="宋体"/>
          <w:color w:val="000000" w:themeColor="text1"/>
          <w:sz w:val="28"/>
          <w:szCs w:val="28"/>
          <w:highlight w:val="white"/>
          <w14:textFill>
            <w14:solidFill>
              <w14:schemeClr w14:val="tx1"/>
            </w14:solidFill>
          </w14:textFill>
        </w:rPr>
      </w:pPr>
      <w:r>
        <w:rPr>
          <w:rFonts w:hint="eastAsia" w:ascii="宋体" w:hAnsi="宋体" w:cs="宋体"/>
          <w:color w:val="000000" w:themeColor="text1"/>
          <w:sz w:val="28"/>
          <w:szCs w:val="28"/>
          <w:highlight w:val="white"/>
          <w14:textFill>
            <w14:solidFill>
              <w14:schemeClr w14:val="tx1"/>
            </w14:solidFill>
          </w14:textFill>
        </w:rPr>
        <w:t xml:space="preserve">1、城镇住房倒塌保障：城镇住房保险主险单位面积的保额为2500元/平方米，初始投保总建筑面积约</w:t>
      </w:r>
      <w:r>
        <w:rPr>
          <w:rFonts w:hint="eastAsia" w:ascii="宋体" w:hAnsi="宋体" w:cs="宋体"/>
          <w:color w:val="000000" w:themeColor="text1"/>
          <w:sz w:val="28"/>
          <w:szCs w:val="28"/>
          <w:highlight w:val="white"/>
          <w:lang w:val="en-US" w:eastAsia="zh-CN"/>
          <w14:textFill>
            <w14:solidFill>
              <w14:schemeClr w14:val="tx1"/>
            </w14:solidFill>
          </w14:textFill>
        </w:rPr>
        <w:t xml:space="preserve">1058.92</w:t>
      </w:r>
      <w:r>
        <w:rPr>
          <w:rFonts w:hint="eastAsia" w:ascii="宋体" w:hAnsi="宋体" w:cs="宋体"/>
          <w:color w:val="000000" w:themeColor="text1"/>
          <w:sz w:val="28"/>
          <w:szCs w:val="28"/>
          <w:highlight w:val="white"/>
          <w14:textFill>
            <w14:solidFill>
              <w14:schemeClr w14:val="tx1"/>
            </w14:solidFill>
          </w14:textFill>
        </w:rPr>
        <w:t xml:space="preserve">万平方米，以后根据项目实际情况增减；由于保险责任范围内的原因造成保险房屋整体倒塌或部分倒塌）的在倒塌房屋的建筑面积乘以单位面积保险金额范围内计算赔偿金额，免赔额无。</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倒塌临时安置费保障：由于保险合同主险责任范围内的原因造成保险房屋整体倒塌，致使实际居住在该房屋及前后左右相邻保险房屋内的居民家庭无法继续居住生活而发生的临时安置费用。保险额为保险额为每户5元/平方/天，每次及累计保障180天，在限额内按照实际发生金额据实赔偿。</w:t>
      </w:r>
      <w:r/>
    </w:p>
    <w:p>
      <w:pPr>
        <w:ind w:firstLine="560"/>
        <w:spacing w:line="440" w:lineRule="exac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3、紧急撤离安置费保障：政府根据房屋实际危险状况发出强制撤离令或</w:t>
      </w:r>
      <w:bookmarkStart w:id="15" w:name="OLE_LINK3"/>
      <w:r>
        <w:rPr>
          <w:rFonts w:hint="eastAsia" w:ascii="宋体" w:hAnsi="宋体" w:cs="宋体"/>
          <w:bCs/>
          <w:color w:val="000000" w:themeColor="text1"/>
          <w:sz w:val="28"/>
          <w:szCs w:val="28"/>
          <w14:textFill>
            <w14:solidFill>
              <w14:schemeClr w14:val="tx1"/>
            </w14:solidFill>
          </w14:textFill>
        </w:rPr>
        <w:t xml:space="preserve">因房屋安全进行维修加固需要人员搬离</w:t>
      </w:r>
      <w:bookmarkEnd w:id="15"/>
      <w:r>
        <w:rPr>
          <w:rFonts w:hint="eastAsia" w:ascii="宋体" w:hAnsi="宋体" w:cs="宋体"/>
          <w:bCs/>
          <w:color w:val="000000" w:themeColor="text1"/>
          <w:sz w:val="28"/>
          <w:szCs w:val="28"/>
          <w14:textFill>
            <w14:solidFill>
              <w14:schemeClr w14:val="tx1"/>
            </w14:solidFill>
          </w14:textFill>
        </w:rPr>
        <w:t xml:space="preserve">而发生的临时安置费用，5元/平方/天，每次事故保障180天，在限额内按照实际发生金额据实赔偿。</w:t>
      </w:r>
      <w:r/>
    </w:p>
    <w:p>
      <w:pPr>
        <w:ind w:firstLine="560"/>
        <w:jc w:val="left"/>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附加预防处置费用保障：保险标的存在危险状况，聘请专业技术部门进行鉴定费用和处置费用（包含但不限于设计费、施工费、监理费、审计费等相关实际发生的费用）。每次事故责任限额及全年累计事故责任限额200万。</w:t>
      </w:r>
      <w:r/>
    </w:p>
    <w:p>
      <w:pPr>
        <w:pStyle w:val="676"/>
        <w:ind w:firstLine="560"/>
        <w:jc w:val="left"/>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5、第三者责任险保障：保险期间，因房屋倒塌造成居民人身伤亡的损失，全年累计500万，其中每次事故限额200万，包括医疗费100万；每人责任限额30万，包括医疗费10万。</w:t>
      </w:r>
      <w:r/>
    </w:p>
    <w:p>
      <w:pPr>
        <w:pStyle w:val="678"/>
        <w:ind w:firstLine="568"/>
        <w:jc w:val="left"/>
        <w:spacing w:line="440" w:lineRule="exact"/>
        <w:rPr>
          <w:rFonts w:ascii="宋体" w:hAnsi="宋体" w:cs="宋体"/>
          <w:b/>
          <w:sz w:val="28"/>
          <w:szCs w:val="28"/>
        </w:rPr>
      </w:pPr>
      <w:r>
        <w:rPr>
          <w:rFonts w:hint="eastAsia" w:ascii="宋体" w:hAnsi="宋体" w:cs="宋体"/>
          <w:b/>
          <w:sz w:val="28"/>
          <w:szCs w:val="28"/>
        </w:rPr>
        <w:t xml:space="preserve">(三)主险条款</w:t>
      </w:r>
      <w:r/>
    </w:p>
    <w:p>
      <w:pPr>
        <w:pStyle w:val="678"/>
        <w:spacing w:line="440" w:lineRule="exact"/>
        <w:rPr>
          <w:rFonts w:ascii="宋体" w:hAnsi="宋体" w:cs="宋体"/>
          <w:sz w:val="28"/>
          <w:szCs w:val="28"/>
        </w:rPr>
      </w:pPr>
      <w:r>
        <w:rPr>
          <w:rFonts w:hint="eastAsia" w:ascii="宋体" w:hAnsi="宋体" w:cs="宋体"/>
          <w:sz w:val="28"/>
          <w:szCs w:val="28"/>
        </w:rPr>
        <w:t xml:space="preserve">使用乙方的保险条款</w:t>
      </w:r>
      <w:r/>
    </w:p>
    <w:p>
      <w:pPr>
        <w:pStyle w:val="678"/>
        <w:ind w:firstLine="568"/>
        <w:spacing w:line="440" w:lineRule="exact"/>
        <w:rPr>
          <w:rFonts w:ascii="宋体" w:hAnsi="宋体" w:cs="宋体"/>
          <w:b/>
          <w:sz w:val="28"/>
          <w:szCs w:val="28"/>
        </w:rPr>
      </w:pPr>
      <w:r>
        <w:rPr>
          <w:rFonts w:hint="eastAsia" w:ascii="宋体" w:hAnsi="宋体" w:cs="宋体"/>
          <w:b/>
          <w:sz w:val="28"/>
          <w:szCs w:val="28"/>
        </w:rPr>
        <w:t xml:space="preserve">（四）附加条款</w:t>
      </w:r>
      <w:r/>
    </w:p>
    <w:p>
      <w:pPr>
        <w:pStyle w:val="678"/>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使用乙方的保险条款</w:t>
      </w:r>
      <w:r/>
    </w:p>
    <w:p>
      <w:pPr>
        <w:pStyle w:val="708"/>
        <w:ind w:firstLine="560"/>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特别约定：</w:t>
      </w:r>
      <w:r/>
    </w:p>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lang w:val="en-US" w:eastAsia="zh-CN" w:bidi="ar-SA"/>
        </w:rPr>
        <w:t xml:space="preserve">1、</w:t>
      </w:r>
      <w:r>
        <w:rPr>
          <w:rFonts w:hint="eastAsia" w:ascii="宋体" w:hAnsi="宋体" w:eastAsia="宋体" w:cs="宋体"/>
          <w:color w:val="000000" w:themeColor="text1"/>
          <w:sz w:val="28"/>
          <w:szCs w:val="28"/>
          <w:lang w:val="en-US" w:eastAsia="zh-CN" w:bidi="ar-SA"/>
          <w14:textFill>
            <w14:solidFill>
              <w14:schemeClr w14:val="tx1"/>
            </w14:solidFill>
          </w14:textFill>
        </w:rPr>
        <w:t xml:space="preserve">双方同</w:t>
      </w:r>
      <w:r>
        <w:rPr>
          <w:rFonts w:hint="eastAsia" w:ascii="宋体" w:hAnsi="宋体" w:eastAsia="宋体" w:cs="宋体"/>
          <w:color w:val="000000" w:themeColor="text1"/>
          <w:sz w:val="28"/>
          <w:szCs w:val="28"/>
          <w14:textFill>
            <w14:solidFill>
              <w14:schemeClr w14:val="tx1"/>
            </w14:solidFill>
          </w14:textFill>
        </w:rPr>
        <w:t xml:space="preserve">意对于在投保年度内出现参保房屋新增的情况，自投保人向保险人提交房屋清单后，自动纳入本保险保障范围。对于新增房屋比例在10%以内的情况，保险公司免予收取增加的保险费。</w:t>
      </w:r>
      <w:r/>
    </w:p>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2、发生保险事故，需要对保险标的进行房屋鉴定、加固和维修的，为确保施工质量符合相关标准，</w:t>
      </w:r>
      <w:bookmarkStart w:id="16" w:name="OLE_LINK5"/>
      <w:r/>
      <w:bookmarkStart w:id="17" w:name="OLE_LINK4"/>
      <w:r>
        <w:rPr>
          <w:rFonts w:hint="eastAsia" w:ascii="宋体" w:hAnsi="宋体" w:eastAsia="宋体" w:cs="宋体"/>
          <w:color w:val="000000" w:themeColor="text1"/>
          <w:sz w:val="28"/>
          <w:szCs w:val="28"/>
          <w14:textFill>
            <w14:solidFill>
              <w14:schemeClr w14:val="tx1"/>
            </w14:solidFill>
          </w14:textFill>
        </w:rPr>
        <w:t xml:space="preserve">应按照相关规定使用</w:t>
      </w:r>
      <w:r>
        <w:rPr>
          <w:rFonts w:hint="eastAsia" w:ascii="宋体" w:hAnsi="宋体" w:eastAsia="宋体" w:cs="宋体"/>
          <w:color w:val="000000" w:themeColor="text1"/>
          <w:sz w:val="28"/>
          <w:szCs w:val="28"/>
          <w:lang w:val="en-US" w:eastAsia="zh-CN"/>
          <w14:textFill>
            <w14:solidFill>
              <w14:schemeClr w14:val="tx1"/>
            </w14:solidFill>
          </w14:textFill>
        </w:rPr>
        <w:t xml:space="preserve">经甲方确认的</w:t>
      </w:r>
      <w:r>
        <w:rPr>
          <w:rFonts w:hint="eastAsia" w:ascii="宋体" w:hAnsi="宋体" w:eastAsia="宋体" w:cs="宋体"/>
          <w:color w:val="000000" w:themeColor="text1"/>
          <w:sz w:val="28"/>
          <w:szCs w:val="28"/>
          <w14:textFill>
            <w14:solidFill>
              <w14:schemeClr w14:val="tx1"/>
            </w14:solidFill>
          </w14:textFill>
        </w:rPr>
        <w:t xml:space="preserve">具有相关资质的施工单位，</w:t>
      </w:r>
      <w:bookmarkEnd w:id="16"/>
      <w:r/>
      <w:bookmarkEnd w:id="17"/>
      <w:r>
        <w:rPr>
          <w:rFonts w:hint="eastAsia" w:ascii="宋体" w:hAnsi="宋体" w:eastAsia="宋体" w:cs="宋体"/>
          <w:color w:val="000000" w:themeColor="text1"/>
          <w:sz w:val="28"/>
          <w:szCs w:val="28"/>
          <w14:textFill>
            <w14:solidFill>
              <w14:schemeClr w14:val="tx1"/>
            </w14:solidFill>
          </w14:textFill>
        </w:rPr>
        <w:t xml:space="preserve">加固维修工作经房屋安全主管部门验收合格后，</w:t>
      </w:r>
      <w:r>
        <w:rPr>
          <w:rFonts w:hint="eastAsia" w:ascii="宋体" w:hAnsi="宋体" w:eastAsia="宋体" w:cs="宋体"/>
          <w:color w:val="000000" w:themeColor="text1"/>
          <w:sz w:val="28"/>
          <w:szCs w:val="28"/>
          <w:lang w:val="en-US" w:eastAsia="zh-CN"/>
          <w14:textFill>
            <w14:solidFill>
              <w14:schemeClr w14:val="tx1"/>
            </w14:solidFill>
          </w14:textFill>
        </w:rPr>
        <w:t xml:space="preserve">报销</w:t>
      </w:r>
      <w:r>
        <w:rPr>
          <w:rFonts w:hint="eastAsia" w:ascii="宋体" w:hAnsi="宋体" w:eastAsia="宋体" w:cs="宋体"/>
          <w:color w:val="000000" w:themeColor="text1"/>
          <w:sz w:val="28"/>
          <w:szCs w:val="28"/>
          <w14:textFill>
            <w14:solidFill>
              <w14:schemeClr w14:val="tx1"/>
            </w14:solidFill>
          </w14:textFill>
        </w:rPr>
        <w:t xml:space="preserve">人可以在获得投保人</w:t>
      </w:r>
      <w:r>
        <w:rPr>
          <w:rFonts w:hint="eastAsia" w:ascii="宋体" w:hAnsi="宋体" w:eastAsia="宋体" w:cs="宋体"/>
          <w:color w:val="000000" w:themeColor="text1"/>
          <w:sz w:val="28"/>
          <w:szCs w:val="28"/>
          <w:lang w:val="en-US" w:eastAsia="zh-CN"/>
          <w14:textFill>
            <w14:solidFill>
              <w14:schemeClr w14:val="tx1"/>
            </w14:solidFill>
          </w14:textFill>
        </w:rPr>
        <w:t xml:space="preserve">同意</w:t>
      </w:r>
      <w:r>
        <w:rPr>
          <w:rFonts w:hint="eastAsia" w:ascii="宋体" w:hAnsi="宋体" w:eastAsia="宋体" w:cs="宋体"/>
          <w:color w:val="000000" w:themeColor="text1"/>
          <w:sz w:val="28"/>
          <w:szCs w:val="28"/>
          <w14:textFill>
            <w14:solidFill>
              <w14:schemeClr w14:val="tx1"/>
            </w14:solidFill>
          </w14:textFill>
        </w:rPr>
        <w:t xml:space="preserve">后，直接将赔款赔付给相关施工单位。</w:t>
      </w:r>
      <w:r/>
    </w:p>
    <w:p>
      <w:pPr>
        <w:pStyle w:val="678"/>
        <w:ind w:firstLine="562"/>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（五）索赔和理赔</w:t>
      </w:r>
      <w:r/>
    </w:p>
    <w:p>
      <w:pPr>
        <w:pStyle w:val="678"/>
        <w:ind w:left="0"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1、出险通知</w:t>
      </w:r>
      <w:r/>
    </w:p>
    <w:p>
      <w:pPr>
        <w:pStyle w:val="678"/>
        <w:spacing w:line="440" w:lineRule="exact"/>
        <w:rPr>
          <w:rFonts w:ascii="宋体" w:hAnsi="宋体" w:cs="宋体"/>
          <w:sz w:val="28"/>
          <w:szCs w:val="28"/>
        </w:rPr>
      </w:pPr>
      <w:r>
        <w:rPr>
          <w:rFonts w:hint="eastAsia" w:ascii="宋体" w:hAnsi="宋体" w:cs="宋体"/>
          <w:sz w:val="28"/>
          <w:szCs w:val="28"/>
        </w:rPr>
        <w:t xml:space="preserve">案情发生后，甲方及其工作人员可第一时间直接拨打本项目服务专员电话向乙方报案。报案信息包括：出险的详细街道及社区名称、地点、报案人联系方式、受灾的房屋数量，人员伤亡等情况。</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2、现场查勘</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乙方根据自身的机构网络设置，接到甲方及其工作人员或受灾居民的报案通知后，乙方专责理赔人员立即赶到现场进行查勘。</w:t>
      </w:r>
      <w:r/>
    </w:p>
    <w:p>
      <w:pPr>
        <w:pStyle w:val="678"/>
        <w:spacing w:line="440" w:lineRule="exact"/>
        <w:rPr>
          <w:rFonts w:ascii="宋体" w:hAnsi="宋体" w:cs="宋体"/>
          <w:sz w:val="28"/>
          <w:szCs w:val="28"/>
        </w:rPr>
      </w:pPr>
      <w:r>
        <w:rPr>
          <w:rFonts w:hint="eastAsia" w:ascii="宋体" w:hAnsi="宋体" w:cs="宋体"/>
          <w:sz w:val="28"/>
          <w:szCs w:val="28"/>
        </w:rPr>
        <w:t xml:space="preserve">3、单证审核</w:t>
      </w:r>
      <w:r/>
    </w:p>
    <w:p>
      <w:pPr>
        <w:pStyle w:val="678"/>
        <w:spacing w:line="440" w:lineRule="exact"/>
        <w:rPr>
          <w:rFonts w:ascii="宋体" w:hAnsi="宋体" w:cs="宋体"/>
          <w:sz w:val="28"/>
          <w:szCs w:val="28"/>
        </w:rPr>
      </w:pPr>
      <w:r>
        <w:rPr>
          <w:rFonts w:hint="eastAsia" w:ascii="宋体" w:hAnsi="宋体" w:cs="宋体"/>
          <w:sz w:val="28"/>
          <w:szCs w:val="28"/>
        </w:rPr>
        <w:t xml:space="preserve">甲乙双方对损失的原因和赔偿的金额达成一致后，被保险人应向乙方提供下列单证，办理索赔手续：</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（1）城房倒塌：</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2）损失清单；</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3）有关部门出具的真实合法的事故证明资料；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4）投保人、被保险人所能提供的其他与确认保险事故的性质、原因、损失程度等有关的证明和资料。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（2）附加预防处置费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2）房屋鉴定报价单及房屋鉴定报告；</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3）维修报价单及维修合同；</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4）投保人、被保险人所能提供的其他与确认保险事故的性质、原因、损失程度等有关的证明和资料。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（3）第三者责任险</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1）被保险人或其代表填具的索赔申请书；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2）受害人向被保险人提出索赔的相关材料；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4）造成受害人财产损失的，应提供财产损失、费用清单；</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5）有关的法律文书（裁定书、裁决书、判决书、调解书等）；</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（4）倒塌临时安置费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2）保单复印件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3）房屋鉴定报告</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4）关于倒塌房屋政府出具的公告文件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5）政府关于安置天数的文件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（5）紧急撤离安置费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2）保单复印件</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3）房屋鉴定报告</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4）关于强制撤离、要求搬离的公告文件通知</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5）政府关于安置天数的文件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4、理赔处理</w:t>
      </w:r>
      <w:r/>
    </w:p>
    <w:p>
      <w:pPr>
        <w:pStyle w:val="678"/>
        <w:ind w:firstLine="700"/>
        <w:spacing w:line="440" w:lineRule="exact"/>
        <w:rPr>
          <w:rFonts w:ascii="宋体" w:hAnsi="宋体" w:cs="宋体"/>
          <w:sz w:val="28"/>
          <w:szCs w:val="28"/>
        </w:rPr>
      </w:pPr>
      <w:r>
        <w:rPr>
          <w:rFonts w:hint="eastAsia" w:ascii="宋体" w:hAnsi="宋体" w:cs="宋体"/>
          <w:sz w:val="28"/>
          <w:szCs w:val="28"/>
        </w:rPr>
        <w:t xml:space="preserve">对于甲方的索赔申请，在收到书面索赔申请和索赔单证齐全后，乙方应立即核定损失项目和金额，并按照以下时限要求将赔付意见向甲方反馈：</w:t>
      </w:r>
      <w:r/>
    </w:p>
    <w:p>
      <w:pPr>
        <w:pStyle w:val="678"/>
        <w:ind w:firstLine="840"/>
        <w:spacing w:line="440" w:lineRule="exact"/>
        <w:rPr>
          <w:rFonts w:ascii="宋体" w:hAnsi="宋体" w:cs="宋体"/>
          <w:sz w:val="28"/>
          <w:szCs w:val="28"/>
        </w:rPr>
      </w:pPr>
      <w:r>
        <w:rPr>
          <w:rFonts w:hint="eastAsia" w:ascii="宋体" w:hAnsi="宋体" w:cs="宋体"/>
          <w:sz w:val="28"/>
          <w:szCs w:val="28"/>
        </w:rPr>
        <w:t xml:space="preserve">（1）估损金额在RMB100万以下（含）时，不超过5个工作日。</w:t>
      </w:r>
      <w:r/>
    </w:p>
    <w:p>
      <w:pPr>
        <w:pStyle w:val="678"/>
        <w:ind w:firstLine="840"/>
        <w:spacing w:line="440" w:lineRule="exact"/>
        <w:rPr>
          <w:rFonts w:ascii="宋体" w:hAnsi="宋体" w:cs="宋体"/>
          <w:sz w:val="28"/>
          <w:szCs w:val="28"/>
        </w:rPr>
      </w:pPr>
      <w:r>
        <w:rPr>
          <w:rFonts w:hint="eastAsia" w:ascii="宋体" w:hAnsi="宋体" w:cs="宋体"/>
          <w:sz w:val="28"/>
          <w:szCs w:val="28"/>
        </w:rPr>
        <w:t xml:space="preserve">（2）估损金额在RMB100万元以上时，不超过7个工作日。</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在甲乙双方达成赔偿协议后，乙方应按照以下时限将赔款支付给甲方：</w:t>
      </w:r>
      <w:r/>
    </w:p>
    <w:tbl>
      <w:tblPr>
        <w:tblStyle w:val="67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5"/>
        <w:gridCol w:w="3118"/>
      </w:tblGrid>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RMB100万元以内赔案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5个工作日内支付</w:t>
            </w:r>
            <w:r/>
          </w:p>
        </w:tc>
      </w:tr>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RMB100万元至RMB500万元以内赔案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7个工作日内支付</w:t>
            </w:r>
            <w:r/>
          </w:p>
        </w:tc>
      </w:tr>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RMB500万元以上赔案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15个工作日内支付</w:t>
            </w:r>
            <w:r/>
          </w:p>
        </w:tc>
      </w:tr>
    </w:tbl>
    <w:p>
      <w:pPr>
        <w:pStyle w:val="678"/>
        <w:spacing w:line="440" w:lineRule="exact"/>
        <w:rPr>
          <w:rFonts w:ascii="宋体" w:hAnsi="宋体" w:cs="宋体"/>
          <w:sz w:val="28"/>
          <w:szCs w:val="28"/>
        </w:rPr>
      </w:pPr>
      <w:r>
        <w:rPr>
          <w:rFonts w:hint="eastAsia" w:ascii="宋体" w:hAnsi="宋体" w:cs="宋体"/>
          <w:sz w:val="28"/>
          <w:szCs w:val="28"/>
        </w:rPr>
        <w:t xml:space="preserve">5、预付赔款</w:t>
      </w:r>
      <w:r/>
    </w:p>
    <w:p>
      <w:pPr>
        <w:pStyle w:val="678"/>
        <w:spacing w:line="440" w:lineRule="exact"/>
        <w:rPr>
          <w:rFonts w:ascii="宋体" w:hAnsi="宋体" w:cs="宋体"/>
          <w:sz w:val="28"/>
          <w:szCs w:val="28"/>
        </w:rPr>
      </w:pPr>
      <w:r>
        <w:rPr>
          <w:rFonts w:hint="eastAsia" w:ascii="宋体" w:hAnsi="宋体" w:cs="宋体"/>
          <w:sz w:val="28"/>
          <w:szCs w:val="28"/>
        </w:rPr>
        <w:t xml:space="preserve">在保险责任明确但损失金额尚不能确定的情况下，根据甲方的要求，乙方应支付预付赔款，支付金额为双方初步商定的损失金额（扣除免赔后）的50%。</w:t>
      </w:r>
      <w:r/>
    </w:p>
    <w:p>
      <w:pPr>
        <w:ind w:firstLine="562"/>
        <w:spacing w:line="440" w:lineRule="exact"/>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cs="宋体"/>
          <w:b/>
          <w:sz w:val="28"/>
          <w:szCs w:val="28"/>
        </w:rPr>
        <w:t xml:space="preserve">二、房屋</w:t>
      </w:r>
      <w:r>
        <w:rPr>
          <w:rFonts w:hint="eastAsia" w:ascii="宋体" w:hAnsi="宋体" w:cs="宋体"/>
          <w:b/>
          <w:color w:val="000000" w:themeColor="text1"/>
          <w:sz w:val="28"/>
          <w:szCs w:val="28"/>
          <w14:textFill>
            <w14:solidFill>
              <w14:schemeClr w14:val="tx1"/>
            </w14:solidFill>
          </w14:textFill>
        </w:rPr>
        <w:t xml:space="preserve">安全动态巡查部分</w:t>
      </w:r>
      <w:r/>
    </w:p>
    <w:p>
      <w:pPr>
        <w:ind w:firstLine="551"/>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（一）服务范围</w:t>
      </w:r>
      <w:r/>
    </w:p>
    <w:p>
      <w:pPr>
        <w:ind w:firstLine="557"/>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动态监测服务房屋幢数：约</w:t>
      </w:r>
      <w:r>
        <w:rPr>
          <w:rFonts w:hint="eastAsia" w:ascii="宋体" w:hAnsi="宋体" w:cs="宋体"/>
          <w:color w:val="000000" w:themeColor="text1"/>
          <w:sz w:val="28"/>
          <w:szCs w:val="28"/>
          <w:lang w:val="en-US" w:eastAsia="zh-CN"/>
          <w14:textFill>
            <w14:solidFill>
              <w14:schemeClr w14:val="tx1"/>
            </w14:solidFill>
          </w14:textFill>
        </w:rPr>
        <w:t xml:space="preserve">3249</w:t>
      </w:r>
      <w:r>
        <w:rPr>
          <w:rFonts w:hint="eastAsia" w:ascii="宋体" w:hAnsi="宋体" w:cs="宋体"/>
          <w:color w:val="000000" w:themeColor="text1"/>
          <w:sz w:val="28"/>
          <w:szCs w:val="28"/>
          <w14:textFill>
            <w14:solidFill>
              <w14:schemeClr w14:val="tx1"/>
            </w14:solidFill>
          </w14:textFill>
        </w:rPr>
        <w:t xml:space="preserve">幢（具体以投保人提供的清单信息为准）。</w:t>
      </w:r>
      <w:r/>
    </w:p>
    <w:p>
      <w:pPr>
        <w:ind w:firstLine="559"/>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（二）房屋安全动态监测标准及内容</w:t>
      </w:r>
      <w:r/>
    </w:p>
    <w:p>
      <w:pPr>
        <w:ind w:firstLine="557"/>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房屋安全动态监测工作必须按照国家、省市有关文件规定的标准及徐州市住建局的要求开展巡查工作。</w:t>
      </w:r>
      <w:r/>
    </w:p>
    <w:p>
      <w:pPr>
        <w:ind w:firstLine="559"/>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（三）房屋安全动态监测单位要求</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巡查服务单位要求：房屋安全动态监测单位由乙方委托具有房屋监测专业技能的第三方机构开展被保房屋的监测工作。房屋安全动态监测单位应具备特种专业工程承包资质（含结构补强）。房屋鉴定报告备案单位须为《地方房屋使用安全管理条例》规定的行政主管部门（如市级住建部门）,乙方所提供的第三方服务单位必须经甲方审核同意。服务单位在当地须设立</w:t>
      </w:r>
      <w:r>
        <w:rPr>
          <w:rFonts w:hint="eastAsia" w:ascii="宋体" w:hAnsi="宋体" w:cs="宋体"/>
          <w:color w:val="000000" w:themeColor="text1"/>
          <w:sz w:val="28"/>
          <w:szCs w:val="28"/>
          <w:lang w:val="en-US" w:eastAsia="zh-CN"/>
          <w14:textFill>
            <w14:solidFill>
              <w14:schemeClr w14:val="tx1"/>
            </w14:solidFill>
          </w14:textFill>
        </w:rPr>
        <w:t xml:space="preserve">分公司</w:t>
      </w:r>
      <w:r>
        <w:rPr>
          <w:rFonts w:hint="eastAsia" w:ascii="宋体" w:hAnsi="宋体" w:cs="宋体"/>
          <w:color w:val="000000" w:themeColor="text1"/>
          <w:sz w:val="28"/>
          <w:szCs w:val="28"/>
          <w14:textFill>
            <w14:solidFill>
              <w14:schemeClr w14:val="tx1"/>
            </w14:solidFill>
          </w14:textFill>
        </w:rPr>
        <w:t xml:space="preserve">。</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2、服务单位人员要求：服务单位在徐州设立常驻</w:t>
      </w:r>
      <w:r>
        <w:rPr>
          <w:rFonts w:hint="eastAsia" w:ascii="宋体" w:hAnsi="宋体" w:cs="宋体"/>
          <w:sz w:val="28"/>
          <w:szCs w:val="28"/>
          <w:u w:val="single"/>
        </w:rPr>
        <w:t xml:space="preserve">  </w:t>
      </w:r>
      <w:r>
        <w:rPr>
          <w:rFonts w:hint="eastAsia" w:ascii="宋体" w:hAnsi="宋体" w:cs="宋体"/>
          <w:sz w:val="28"/>
          <w:szCs w:val="28"/>
        </w:rPr>
        <w:t xml:space="preserve">人以上服务实施团队，</w:t>
      </w:r>
      <w:r>
        <w:rPr>
          <w:rFonts w:hint="eastAsia" w:ascii="宋体" w:hAnsi="宋体" w:cs="宋体"/>
          <w:b/>
          <w:sz w:val="28"/>
          <w:szCs w:val="28"/>
        </w:rPr>
        <w:t xml:space="preserve">其中项目负责人为须具备高级工程师及以上职称，技术负责人须具备高级工程师及以上职称，</w:t>
      </w:r>
      <w:r>
        <w:rPr>
          <w:rFonts w:hint="eastAsia" w:ascii="宋体" w:hAnsi="宋体" w:cs="宋体"/>
          <w:sz w:val="28"/>
          <w:szCs w:val="28"/>
        </w:rPr>
        <w:t xml:space="preserve">二级注册结构工程师至少1名，工程师至少2名，其余人员应为</w:t>
      </w:r>
      <w:r>
        <w:rPr>
          <w:rFonts w:hint="eastAsia" w:ascii="宋体" w:hAnsi="宋体" w:cs="宋体"/>
          <w:color w:val="000000" w:themeColor="text1"/>
          <w:sz w:val="28"/>
          <w:szCs w:val="28"/>
          <w14:textFill>
            <w14:solidFill>
              <w14:schemeClr w14:val="tx1"/>
            </w14:solidFill>
          </w14:textFill>
        </w:rPr>
        <w:t xml:space="preserve">相关专业（说明：相关专业仅指结构工程、建筑工程、建筑施工、工民建、土木工程专业）初级以上职称。</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乙方应在合同签订前将人员配备齐全并报甲方审核同意，如人员配备达不到要求，甲方有权不签订合同，并视投标人违约，由此造成的损失由乙方承担。</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3、乙方根据上述甲方提供资料进行动态工作，不得以提供资料不齐或其他理由拖延动态监测服务实施。</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4、中标后，合同签订前，乙方应承若在一个月内开展正常技术服务工作。若不能承若，甲方有权不予签订合同，并视乙方违约。</w:t>
      </w:r>
      <w:r/>
    </w:p>
    <w:p>
      <w:pPr>
        <w:ind w:firstLine="560"/>
        <w:spacing w:line="44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5、乙方应在保单生效后一个月内，应在甲方的指导和配合下，完成对承保房屋的隐患排查工作，并出具相应的隐患排查报告。</w:t>
      </w:r>
      <w:r>
        <w:rPr>
          <w:rFonts w:hint="eastAsia" w:ascii="宋体" w:hAnsi="宋体" w:cs="宋体"/>
          <w:sz w:val="28"/>
          <w:szCs w:val="28"/>
        </w:rPr>
        <w:t xml:space="preserve">具体排查内容及要求以投保人与乙方沟通确定的隐患排查方案为准。</w:t>
      </w:r>
      <w:r/>
    </w:p>
    <w:p>
      <w:pPr>
        <w:ind w:firstLine="560"/>
        <w:spacing w:line="440" w:lineRule="exact"/>
        <w:rPr>
          <w:rFonts w:ascii="宋体" w:hAnsi="宋体" w:cs="宋体"/>
          <w:sz w:val="28"/>
          <w:szCs w:val="28"/>
        </w:rPr>
      </w:pPr>
      <w:r>
        <w:rPr>
          <w:rFonts w:hint="eastAsia" w:ascii="宋体" w:hAnsi="宋体" w:cs="宋体"/>
          <w:sz w:val="28"/>
          <w:szCs w:val="28"/>
        </w:rPr>
        <w:t xml:space="preserve">6、乙方应在</w:t>
      </w:r>
      <w:r>
        <w:rPr>
          <w:rFonts w:hint="eastAsia" w:ascii="宋体" w:hAnsi="宋体" w:cs="宋体"/>
          <w:color w:val="auto"/>
          <w:sz w:val="28"/>
          <w:szCs w:val="28"/>
          <w:lang w:val="en-US" w:eastAsia="zh-CN"/>
        </w:rPr>
        <w:t xml:space="preserve">房屋安全主管</w:t>
      </w:r>
      <w:r>
        <w:rPr>
          <w:rFonts w:hint="eastAsia" w:ascii="宋体" w:hAnsi="宋体" w:cs="宋体"/>
          <w:color w:val="auto"/>
          <w:sz w:val="28"/>
          <w:szCs w:val="28"/>
        </w:rPr>
        <w:t xml:space="preserve">部门</w:t>
      </w:r>
      <w:r>
        <w:rPr>
          <w:rFonts w:hint="eastAsia" w:ascii="宋体" w:hAnsi="宋体" w:cs="宋体"/>
          <w:sz w:val="28"/>
          <w:szCs w:val="28"/>
        </w:rPr>
        <w:t xml:space="preserve">的技术指导下聘请第三方监测机构开展房屋安全动态监测服务，且该第三方房屋安全动态监测专业机构应当在徐州市房屋安全鉴定机构备案名录库中选择，不得出现挂靠、转包、分包等行为。动态监测服务方案（包括但不限于相关人员及设备投入明细、动态监测平台建设方案、房屋风险防控中心建设方案、现场巡检方案等）应满足投保人实际使用需要，经投保人审核确认后，在服务协议中予以明确。</w:t>
      </w:r>
      <w:r/>
    </w:p>
    <w:p>
      <w:pPr>
        <w:ind w:firstLine="560"/>
        <w:spacing w:line="440" w:lineRule="exact"/>
        <w:rPr>
          <w:rFonts w:ascii="宋体" w:hAnsi="宋体" w:cs="宋体"/>
          <w:sz w:val="28"/>
          <w:szCs w:val="28"/>
        </w:rPr>
      </w:pPr>
      <w:r>
        <w:rPr>
          <w:rFonts w:hint="eastAsia" w:ascii="宋体" w:hAnsi="宋体" w:cs="宋体"/>
          <w:sz w:val="28"/>
          <w:szCs w:val="28"/>
        </w:rPr>
        <w:t xml:space="preserve">房屋动态监测系统的建设需符合国家和省市有关标准和要求，建成后的房屋动态监测系统（包括软硬件设备）及产生的相关监测数据归投保人以及保险人所有。</w:t>
      </w:r>
      <w:r/>
    </w:p>
    <w:p>
      <w:pPr>
        <w:ind w:firstLine="560"/>
        <w:spacing w:line="440" w:lineRule="exact"/>
        <w:rPr>
          <w:rFonts w:ascii="宋体" w:hAnsi="宋体" w:cs="宋体"/>
          <w:sz w:val="28"/>
          <w:szCs w:val="28"/>
        </w:rPr>
      </w:pPr>
      <w:r>
        <w:rPr>
          <w:rFonts w:hint="eastAsia" w:ascii="宋体" w:hAnsi="宋体" w:cs="宋体"/>
          <w:sz w:val="28"/>
          <w:szCs w:val="28"/>
        </w:rPr>
        <w:t xml:space="preserve">（1）基本要求。保险机构应建立房屋安全动态监测服务制度，突出房屋使用过程中的风险辨识、风险评估和事故隐患排查，为投保房屋提供人工和自动化动态监测服务，发挥保险经济补偿和社会管理职能，为房屋安全和使用管理提供有力保障。</w:t>
      </w:r>
      <w:r/>
    </w:p>
    <w:p>
      <w:pPr>
        <w:ind w:firstLine="560"/>
        <w:spacing w:line="440" w:lineRule="exact"/>
        <w:rPr>
          <w:rFonts w:ascii="宋体" w:hAnsi="宋体" w:cs="宋体"/>
          <w:sz w:val="28"/>
          <w:szCs w:val="28"/>
        </w:rPr>
      </w:pPr>
      <w:r>
        <w:rPr>
          <w:rFonts w:hint="eastAsia" w:ascii="宋体" w:hAnsi="宋体" w:cs="宋体"/>
          <w:sz w:val="28"/>
          <w:szCs w:val="28"/>
        </w:rPr>
        <w:t xml:space="preserve">（2）服务内容。房屋安全动态监测工作须严格按照事先制定的动态监测方案实施现场检查。包括人工动态监测和自动化动态监测。保险公司委托第三方房屋安全动态监测专业机构针对房屋主体结构和可能影响主体结构安全的周边环境所进行的现场检查(监测数据采集及安全状况初步判断)、分析计算、出具报告等，并由此承担相应法律责任的工作。</w:t>
      </w:r>
      <w:r/>
    </w:p>
    <w:p>
      <w:pPr>
        <w:ind w:firstLine="560"/>
        <w:spacing w:line="440" w:lineRule="exact"/>
        <w:rPr>
          <w:rFonts w:ascii="宋体" w:hAnsi="宋体" w:cs="宋体"/>
          <w:sz w:val="28"/>
          <w:szCs w:val="28"/>
        </w:rPr>
      </w:pPr>
      <w:r>
        <w:rPr>
          <w:rFonts w:hint="eastAsia" w:ascii="宋体" w:hAnsi="宋体" w:cs="宋体"/>
          <w:sz w:val="28"/>
          <w:szCs w:val="28"/>
        </w:rPr>
        <w:t xml:space="preserve">（3）服务频次。根据投保房屋安全情况，设置月度、季度、年度动态监测服务，同时开展临时房屋安全动态监测接报案检查和房屋安全动态监测灾害性天气检查。</w:t>
      </w:r>
      <w:r/>
    </w:p>
    <w:p>
      <w:pPr>
        <w:ind w:firstLine="560"/>
        <w:spacing w:line="440" w:lineRule="exact"/>
        <w:rPr>
          <w:rFonts w:ascii="宋体" w:hAnsi="宋体" w:cs="宋体"/>
          <w:sz w:val="28"/>
          <w:szCs w:val="28"/>
        </w:rPr>
      </w:pPr>
      <w:r>
        <w:rPr>
          <w:rFonts w:hint="eastAsia" w:ascii="宋体" w:hAnsi="宋体" w:cs="宋体"/>
          <w:sz w:val="28"/>
          <w:szCs w:val="28"/>
        </w:rPr>
        <w:t xml:space="preserve">（4）服务机构。监测机构应具有独立法人资格，应当在本市房屋安全鉴定机构备案名录库中选择，有健全的组织机构和管理制度、责任制度、完善的技术管理与质量保证体系，同时配套上线监测系统。在具体项目中须安排本单位的在职人员从事房屋安全动态监测工作，不得出现挂靠、转包、分包等行为。</w:t>
      </w:r>
      <w:r/>
    </w:p>
    <w:p>
      <w:pPr>
        <w:ind w:firstLine="560"/>
        <w:spacing w:line="440" w:lineRule="exact"/>
        <w:rPr>
          <w:rFonts w:ascii="宋体" w:hAnsi="宋体" w:cs="宋体"/>
          <w:sz w:val="28"/>
          <w:szCs w:val="28"/>
        </w:rPr>
      </w:pPr>
      <w:r>
        <w:rPr>
          <w:rFonts w:hint="eastAsia" w:ascii="宋体" w:hAnsi="宋体" w:cs="宋体"/>
          <w:sz w:val="28"/>
          <w:szCs w:val="28"/>
        </w:rPr>
        <w:t xml:space="preserve">（5）服务要求。房屋安全动态监测服务机构按要求开展动态监测服务，对检查中发现存在的事故隐患应及时以书面形式提出存在的问题、风险防控措施及建议，对重大事故隐患或同一类隐患频发的应及时上报政府主管部门，会商保险公司制定专项风险控制方案。</w:t>
      </w:r>
      <w:r/>
    </w:p>
    <w:p>
      <w:pPr>
        <w:ind w:firstLine="560"/>
        <w:spacing w:line="440" w:lineRule="exact"/>
        <w:rPr>
          <w:rFonts w:ascii="宋体" w:hAnsi="宋体" w:cs="宋体"/>
          <w:sz w:val="28"/>
          <w:szCs w:val="28"/>
        </w:rPr>
      </w:pPr>
      <w:r>
        <w:rPr>
          <w:rFonts w:hint="eastAsia" w:ascii="宋体" w:hAnsi="宋体" w:cs="宋体"/>
          <w:sz w:val="28"/>
          <w:szCs w:val="28"/>
        </w:rPr>
        <w:t xml:space="preserve">（6）服务评估。保险公司应制定考核标准并结合监测服务合同的相关内容，建立针对监测机构的考核制度，对其所完成的监测工作进行定期考核。 强化诚信、廉洁信用管理，确保服务质量，对责任心不强、履职不到位、能力不匹配的房屋安全动态监测机构要及时开展约谈警示，直至解除合同。</w:t>
      </w:r>
      <w:r/>
    </w:p>
    <w:p>
      <w:pPr>
        <w:ind w:firstLine="560"/>
        <w:spacing w:line="440" w:lineRule="exact"/>
        <w:rPr>
          <w:rFonts w:ascii="宋体" w:hAnsi="宋体" w:cs="宋体"/>
          <w:sz w:val="28"/>
          <w:szCs w:val="28"/>
        </w:rPr>
      </w:pPr>
      <w:r>
        <w:rPr>
          <w:rFonts w:hint="eastAsia" w:ascii="宋体" w:hAnsi="宋体" w:cs="宋体"/>
          <w:sz w:val="28"/>
          <w:szCs w:val="28"/>
        </w:rPr>
        <w:t xml:space="preserve">7、信息管理</w:t>
      </w:r>
      <w:r/>
    </w:p>
    <w:p>
      <w:pPr>
        <w:ind w:firstLine="560"/>
        <w:spacing w:line="440" w:lineRule="exact"/>
        <w:rPr>
          <w:rFonts w:ascii="宋体" w:hAnsi="宋体" w:cs="宋体"/>
          <w:sz w:val="28"/>
          <w:szCs w:val="28"/>
        </w:rPr>
      </w:pPr>
      <w:r>
        <w:rPr>
          <w:rFonts w:hint="eastAsia" w:ascii="宋体" w:hAnsi="宋体" w:cs="宋体"/>
          <w:sz w:val="28"/>
          <w:szCs w:val="28"/>
        </w:rPr>
        <w:t xml:space="preserve">（1）保险公司应指导房屋安全动态监测服务机构建立服务档案，记录和保留风险管理服务的文档资料，确保服务过程可追溯。动态监测服务机构应确保服务档案真实完整，至少保留至相应保险责任期限结束，其间不得丢失、篡改、隐匿和销毁，服务期满一并移交。 </w:t>
      </w:r>
      <w:r/>
    </w:p>
    <w:p>
      <w:pPr>
        <w:ind w:firstLine="560"/>
        <w:spacing w:line="440" w:lineRule="exact"/>
        <w:rPr>
          <w:rFonts w:ascii="宋体" w:hAnsi="宋体" w:cs="宋体"/>
          <w:sz w:val="28"/>
          <w:szCs w:val="28"/>
        </w:rPr>
      </w:pPr>
      <w:r>
        <w:rPr>
          <w:rFonts w:hint="eastAsia" w:ascii="宋体" w:hAnsi="宋体" w:cs="宋体"/>
          <w:sz w:val="28"/>
          <w:szCs w:val="28"/>
        </w:rPr>
        <w:t xml:space="preserve">（2）动态监测服务机构应上线房屋安全保险管理信息平台（监测系统），并负责正常运行和维护，系统功能模块包括承保信息管理、风险管理、理赔管理、数据统计等，汇集房屋安全保险承保信息、参建各方信息、风险管理信息、体检信息和理赔信息，该检测系统应与徐州市房屋安全管理信息系统对接，辅助政府主管部门及保险公司等进行有效的日常管理。平台软硬件设备归投保人所有，服务期满一并移交。</w:t>
      </w:r>
      <w:r/>
    </w:p>
    <w:p>
      <w:pPr>
        <w:ind w:firstLine="562"/>
        <w:spacing w:line="44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三、宣传服务</w:t>
      </w:r>
      <w:r/>
    </w:p>
    <w:p>
      <w:pPr>
        <w:ind w:firstLine="560"/>
        <w:spacing w:line="440" w:lineRule="exact"/>
        <w:rPr>
          <w:rFonts w:ascii="宋体" w:hAnsi="宋体" w:cs="宋体"/>
          <w:sz w:val="28"/>
          <w:szCs w:val="28"/>
        </w:rPr>
      </w:pPr>
      <w:r>
        <w:rPr>
          <w:rFonts w:hint="eastAsia" w:ascii="宋体" w:hAnsi="宋体" w:cs="宋体"/>
          <w:sz w:val="28"/>
          <w:szCs w:val="28"/>
        </w:rPr>
        <w:t xml:space="preserve">乙方应在保期内通过网络、媒体、进社区宣讲等方式，积极配合投保人开展房屋安全宣传工作。房屋安全知识宣传每季度至少应组织一次，宣传方案应在活动开展前报投保人审批。</w:t>
      </w:r>
      <w:r/>
    </w:p>
    <w:p>
      <w:pPr>
        <w:ind w:firstLine="562"/>
        <w:spacing w:line="44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四、咨询服务</w:t>
      </w:r>
      <w:r/>
    </w:p>
    <w:p>
      <w:pPr>
        <w:ind w:firstLine="560"/>
        <w:spacing w:line="440" w:lineRule="exact"/>
        <w:rPr>
          <w:rFonts w:ascii="宋体" w:hAnsi="宋体" w:cs="宋体"/>
          <w:sz w:val="28"/>
          <w:szCs w:val="28"/>
        </w:rPr>
      </w:pPr>
      <w:r>
        <w:rPr>
          <w:rFonts w:hint="eastAsia" w:ascii="宋体" w:hAnsi="宋体" w:cs="宋体"/>
          <w:sz w:val="28"/>
          <w:szCs w:val="28"/>
        </w:rPr>
        <w:t xml:space="preserve">乙方应充分利用其在全国范围内同类项目服务中的成功经验，积极为甲方及住建部门在房屋养老金制度和房屋安全保险制度的建立及完善过程中提供咨询服务。乙方可以在全国范围内聘请相关领域的专家学者或与投保人共同组建专家工作组，通过现场考察、学术交流等方式，共同参与徐州市城镇房屋养老金、房屋安全保险制度相关咨政报告、制度文本、评估/总结报告的撰写工作，以确保相关制度建立的科学性。同时也可以围绕项目形成的科研成果积极参与相关新闻报道、专著、论文的创作工作，为本项目的可持续健康发展提供技术支持。</w:t>
      </w:r>
      <w:r/>
    </w:p>
    <w:p>
      <w:pPr>
        <w:ind w:firstLine="562"/>
        <w:spacing w:line="440" w:lineRule="exact"/>
        <w:rPr>
          <w:rFonts w:ascii="宋体" w:hAnsi="宋体" w:cs="宋体"/>
          <w:b/>
          <w:bCs/>
          <w:sz w:val="28"/>
          <w:szCs w:val="28"/>
        </w:rPr>
      </w:pPr>
      <w:r>
        <w:rPr>
          <w:rFonts w:hint="eastAsia" w:ascii="宋体" w:hAnsi="宋体" w:cs="宋体"/>
          <w:b/>
          <w:bCs/>
          <w:sz w:val="28"/>
          <w:szCs w:val="28"/>
        </w:rPr>
        <w:t xml:space="preserve">五、履约考核及履约保证金</w:t>
      </w:r>
      <w:r/>
    </w:p>
    <w:p>
      <w:pPr>
        <w:ind w:firstLine="560"/>
        <w:spacing w:line="440" w:lineRule="exact"/>
        <w:rPr>
          <w:rFonts w:ascii="宋体" w:hAnsi="宋体" w:cs="宋体"/>
          <w:color w:val="0000ff"/>
          <w:sz w:val="28"/>
          <w:szCs w:val="28"/>
        </w:rPr>
      </w:pPr>
      <w:r>
        <w:rPr>
          <w:rFonts w:hint="eastAsia" w:ascii="宋体" w:hAnsi="宋体" w:cs="宋体"/>
          <w:color w:val="000000" w:themeColor="text1"/>
          <w:sz w:val="28"/>
          <w:szCs w:val="28"/>
          <w14:textFill>
            <w14:solidFill>
              <w14:schemeClr w14:val="tx1"/>
            </w14:solidFill>
          </w14:textFill>
        </w:rPr>
        <w:t xml:space="preserve">为确保本项目平稳运行，提高保险机构服务质量，本项目履约保证金为人民币10万元，甲方可委托第三方机构每季度对乙方开展一次履约考核，如发生违约行为，甲方有权没收履约保证金。合同期满，经考核合格，甲方一次性无息退还履约保证金。履约保证金提交形式：支票、汇票、本票或者金融机构、担保机构出具的保函等非现金形式</w:t>
      </w:r>
      <w:r>
        <w:rPr>
          <w:rFonts w:hint="eastAsia" w:ascii="宋体" w:hAnsi="宋体" w:cs="宋体"/>
          <w:color w:val="0000ff"/>
          <w:sz w:val="28"/>
          <w:szCs w:val="28"/>
        </w:rPr>
        <w:t xml:space="preserve">。</w:t>
      </w:r>
      <w:r/>
    </w:p>
    <w:p>
      <w:pPr>
        <w:ind w:firstLine="562"/>
        <w:spacing w:line="440" w:lineRule="exact"/>
        <w:rPr>
          <w:rFonts w:ascii="宋体" w:hAnsi="宋体" w:cs="宋体"/>
          <w:b/>
          <w:sz w:val="28"/>
          <w:szCs w:val="28"/>
        </w:rPr>
      </w:pPr>
      <w:r>
        <w:rPr>
          <w:rFonts w:hint="eastAsia" w:ascii="宋体" w:hAnsi="宋体" w:cs="宋体"/>
          <w:b/>
          <w:sz w:val="28"/>
          <w:szCs w:val="28"/>
        </w:rPr>
        <w:t xml:space="preserve">六、甲、乙双方主要责任</w:t>
      </w:r>
      <w:r/>
    </w:p>
    <w:p>
      <w:pPr>
        <w:ind w:firstLine="560"/>
        <w:spacing w:line="440" w:lineRule="exact"/>
        <w:rPr>
          <w:rFonts w:ascii="宋体" w:hAnsi="宋体" w:cs="宋体"/>
          <w:sz w:val="28"/>
          <w:szCs w:val="28"/>
        </w:rPr>
      </w:pPr>
      <w:r>
        <w:rPr>
          <w:rFonts w:hint="eastAsia" w:ascii="宋体" w:hAnsi="宋体" w:cs="宋体"/>
          <w:sz w:val="28"/>
          <w:szCs w:val="28"/>
        </w:rPr>
        <w:t xml:space="preserve">甲方责任</w:t>
      </w:r>
      <w:r/>
    </w:p>
    <w:p>
      <w:pPr>
        <w:ind w:firstLine="420"/>
        <w:spacing w:line="440" w:lineRule="exact"/>
        <w:rPr>
          <w:rFonts w:ascii="宋体" w:hAnsi="宋体" w:cs="宋体"/>
          <w:sz w:val="28"/>
          <w:szCs w:val="28"/>
        </w:rPr>
      </w:pPr>
      <w:r>
        <w:rPr>
          <w:rFonts w:hint="eastAsia" w:ascii="宋体" w:hAnsi="宋体" w:cs="宋体"/>
          <w:sz w:val="28"/>
          <w:szCs w:val="28"/>
        </w:rPr>
        <w:t xml:space="preserve">1、安排各社区人员配合乙方开展动态监测，为乙方开展工作提供相关便利。</w:t>
      </w:r>
      <w:r/>
    </w:p>
    <w:p>
      <w:pPr>
        <w:ind w:firstLine="420"/>
        <w:spacing w:line="440" w:lineRule="exact"/>
        <w:rPr>
          <w:rFonts w:ascii="宋体" w:hAnsi="宋体" w:cs="宋体"/>
          <w:sz w:val="28"/>
          <w:szCs w:val="28"/>
        </w:rPr>
      </w:pPr>
      <w:r>
        <w:rPr>
          <w:rFonts w:hint="eastAsia" w:ascii="宋体" w:hAnsi="宋体" w:cs="宋体"/>
          <w:sz w:val="28"/>
          <w:szCs w:val="28"/>
        </w:rPr>
        <w:t xml:space="preserve">2、做好对乙方工作的监督检查考核。</w:t>
      </w:r>
      <w:r/>
    </w:p>
    <w:p>
      <w:pPr>
        <w:ind w:firstLine="420"/>
        <w:spacing w:line="440" w:lineRule="exact"/>
        <w:rPr>
          <w:rFonts w:ascii="宋体" w:hAnsi="宋体" w:cs="宋体"/>
          <w:sz w:val="28"/>
          <w:szCs w:val="28"/>
        </w:rPr>
      </w:pPr>
      <w:r>
        <w:rPr>
          <w:rFonts w:hint="eastAsia" w:ascii="宋体" w:hAnsi="宋体" w:cs="宋体"/>
          <w:sz w:val="28"/>
          <w:szCs w:val="28"/>
        </w:rPr>
        <w:t xml:space="preserve">3、做好居民工作，让居民及时提供室内裂缝位置，并为室内裂缝观测创造条件。</w:t>
      </w:r>
      <w:r/>
    </w:p>
    <w:p>
      <w:pPr>
        <w:ind w:firstLine="420"/>
        <w:spacing w:line="440" w:lineRule="exact"/>
        <w:rPr>
          <w:rFonts w:ascii="宋体" w:hAnsi="宋体" w:cs="宋体"/>
          <w:sz w:val="28"/>
          <w:szCs w:val="28"/>
        </w:rPr>
      </w:pPr>
      <w:r>
        <w:rPr>
          <w:rFonts w:hint="eastAsia" w:ascii="宋体" w:hAnsi="宋体" w:cs="宋体"/>
          <w:sz w:val="28"/>
          <w:szCs w:val="28"/>
        </w:rPr>
        <w:t xml:space="preserve">4、按合同规定及时结算及支付合同价款。</w:t>
      </w:r>
      <w:r/>
    </w:p>
    <w:p>
      <w:pPr>
        <w:ind w:firstLine="560"/>
        <w:spacing w:line="440" w:lineRule="exact"/>
        <w:rPr>
          <w:rFonts w:ascii="宋体" w:hAnsi="宋体" w:cs="宋体"/>
          <w:sz w:val="28"/>
          <w:szCs w:val="28"/>
        </w:rPr>
      </w:pPr>
      <w:r>
        <w:rPr>
          <w:rFonts w:hint="eastAsia" w:ascii="宋体" w:hAnsi="宋体" w:cs="宋体"/>
          <w:sz w:val="28"/>
          <w:szCs w:val="28"/>
        </w:rPr>
        <w:t xml:space="preserve">乙方责任</w:t>
      </w:r>
      <w:r/>
    </w:p>
    <w:p>
      <w:pPr>
        <w:ind w:firstLine="420"/>
        <w:spacing w:line="440" w:lineRule="exact"/>
        <w:rPr>
          <w:rFonts w:ascii="宋体" w:hAnsi="宋体" w:cs="宋体"/>
          <w:sz w:val="28"/>
          <w:szCs w:val="28"/>
        </w:rPr>
      </w:pPr>
      <w:r>
        <w:rPr>
          <w:rFonts w:hint="eastAsia" w:ascii="宋体" w:hAnsi="宋体" w:cs="宋体"/>
          <w:sz w:val="28"/>
          <w:szCs w:val="28"/>
        </w:rPr>
        <w:t xml:space="preserve">1、组织、协调各专业单位完成上述工作，按合同约定的要求进行巡查、监测，保证数据真实可靠并及时提供工作成果报告。</w:t>
      </w:r>
      <w:r/>
    </w:p>
    <w:p>
      <w:pPr>
        <w:ind w:firstLine="420"/>
        <w:spacing w:line="440" w:lineRule="exact"/>
        <w:rPr>
          <w:rFonts w:ascii="宋体" w:hAnsi="宋体" w:cs="宋体"/>
          <w:sz w:val="28"/>
          <w:szCs w:val="28"/>
        </w:rPr>
      </w:pPr>
      <w:r>
        <w:rPr>
          <w:rFonts w:hint="eastAsia" w:ascii="宋体" w:hAnsi="宋体" w:cs="宋体"/>
          <w:sz w:val="28"/>
          <w:szCs w:val="28"/>
        </w:rPr>
        <w:t xml:space="preserve">2、除提供甲方外，不对外发布各种数据和信息，包括住户。</w:t>
      </w:r>
      <w:r/>
    </w:p>
    <w:p>
      <w:pPr>
        <w:ind w:firstLine="420"/>
        <w:spacing w:line="440" w:lineRule="exact"/>
        <w:rPr>
          <w:rFonts w:ascii="宋体" w:hAnsi="宋体" w:cs="宋体"/>
          <w:sz w:val="28"/>
          <w:szCs w:val="28"/>
        </w:rPr>
      </w:pPr>
      <w:r>
        <w:rPr>
          <w:rFonts w:hint="eastAsia" w:ascii="宋体" w:hAnsi="宋体" w:cs="宋体"/>
          <w:sz w:val="28"/>
          <w:szCs w:val="28"/>
        </w:rPr>
        <w:t xml:space="preserve">3、建筑物破坏起始点发生在外墙、楼梯间、已入户检查的室内结构及居民已经反映的危险点，因乙方工作不到位没有及时发现垮塌隐患的，应按相关政策及法律法规承担相关的责任。</w:t>
      </w:r>
      <w:r/>
    </w:p>
    <w:p>
      <w:pPr>
        <w:ind w:firstLine="420"/>
        <w:spacing w:line="440" w:lineRule="exact"/>
        <w:rPr>
          <w:rFonts w:ascii="宋体" w:hAnsi="宋体" w:cs="宋体"/>
          <w:sz w:val="28"/>
          <w:szCs w:val="28"/>
        </w:rPr>
      </w:pPr>
      <w:r>
        <w:rPr>
          <w:rFonts w:hint="eastAsia" w:ascii="宋体" w:hAnsi="宋体" w:cs="宋体"/>
          <w:sz w:val="28"/>
          <w:szCs w:val="28"/>
        </w:rPr>
        <w:t xml:space="preserve">4、接受各属地街道、社区的监督管理。</w:t>
      </w:r>
      <w:r/>
    </w:p>
    <w:p>
      <w:pPr>
        <w:ind w:firstLine="562"/>
        <w:spacing w:line="440" w:lineRule="exact"/>
        <w:rPr>
          <w:rFonts w:ascii="宋体" w:hAnsi="宋体" w:cs="宋体"/>
          <w:b/>
          <w:sz w:val="28"/>
          <w:szCs w:val="28"/>
        </w:rPr>
      </w:pPr>
      <w:r>
        <w:rPr>
          <w:rFonts w:hint="eastAsia" w:ascii="宋体" w:hAnsi="宋体" w:cs="宋体"/>
          <w:b/>
          <w:sz w:val="28"/>
          <w:szCs w:val="28"/>
        </w:rPr>
        <w:t xml:space="preserve">七、成果文件要求</w:t>
      </w:r>
      <w:r/>
    </w:p>
    <w:p>
      <w:pPr>
        <w:ind w:firstLine="560"/>
        <w:spacing w:line="440" w:lineRule="exact"/>
        <w:rPr>
          <w:rFonts w:ascii="宋体" w:hAnsi="宋体" w:cs="宋体"/>
          <w:sz w:val="28"/>
          <w:szCs w:val="28"/>
        </w:rPr>
      </w:pPr>
      <w:r>
        <w:rPr>
          <w:rFonts w:hint="eastAsia" w:ascii="宋体" w:hAnsi="宋体" w:cs="宋体"/>
          <w:sz w:val="28"/>
          <w:szCs w:val="28"/>
        </w:rPr>
        <w:t xml:space="preserve">乙方应按国家规定和合同约定的技术规范、标准委托第三方专业监测机构进行监测服务。乙方按本合同约定要求向甲方交付监测服务文件，并对提交的监测服务文件的质量负责。</w:t>
      </w:r>
      <w:r/>
    </w:p>
    <w:p>
      <w:pPr>
        <w:ind w:firstLine="560"/>
        <w:spacing w:line="440" w:lineRule="exact"/>
        <w:rPr>
          <w:rFonts w:ascii="宋体" w:hAnsi="宋体" w:cs="宋体"/>
          <w:sz w:val="28"/>
          <w:szCs w:val="28"/>
        </w:rPr>
      </w:pPr>
      <w:r>
        <w:rPr>
          <w:rFonts w:hint="eastAsia" w:ascii="宋体" w:hAnsi="宋体" w:cs="宋体"/>
          <w:sz w:val="28"/>
          <w:szCs w:val="28"/>
        </w:rPr>
        <w:t xml:space="preserve">乙方在合同期限内须建立房屋安全管理专家组，为徐州市房屋使用安全管理提供技术咨询。</w:t>
      </w:r>
      <w:r/>
    </w:p>
    <w:p>
      <w:pPr>
        <w:ind w:firstLine="560"/>
        <w:spacing w:line="440" w:lineRule="exact"/>
        <w:rPr>
          <w:rFonts w:ascii="宋体" w:hAnsi="宋体" w:cs="宋体"/>
          <w:sz w:val="28"/>
          <w:szCs w:val="28"/>
        </w:rPr>
      </w:pPr>
      <w:r>
        <w:rPr>
          <w:rFonts w:hint="eastAsia" w:ascii="宋体" w:hAnsi="宋体" w:cs="宋体"/>
          <w:sz w:val="28"/>
          <w:szCs w:val="28"/>
        </w:rPr>
        <w:t xml:space="preserve">乙方对监测服务文件出现的遗漏或错误负责修改或补充。</w:t>
      </w:r>
      <w:r/>
    </w:p>
    <w:p>
      <w:pPr>
        <w:ind w:firstLine="562"/>
        <w:spacing w:line="440" w:lineRule="exact"/>
        <w:rPr>
          <w:rFonts w:ascii="宋体" w:hAnsi="宋体" w:cs="宋体"/>
          <w:b/>
          <w:sz w:val="28"/>
          <w:szCs w:val="28"/>
        </w:rPr>
      </w:pPr>
      <w:r>
        <w:rPr>
          <w:rFonts w:hint="eastAsia" w:ascii="宋体" w:hAnsi="宋体" w:cs="宋体"/>
          <w:b/>
          <w:sz w:val="28"/>
          <w:szCs w:val="28"/>
        </w:rPr>
        <w:t xml:space="preserve">八、合同金额及支付方式</w:t>
      </w:r>
      <w:r/>
    </w:p>
    <w:p>
      <w:pPr>
        <w:pStyle w:val="678"/>
        <w:ind w:firstLine="551"/>
        <w:spacing w:line="440" w:lineRule="exact"/>
        <w:rPr>
          <w:rFonts w:ascii="宋体" w:hAnsi="宋体" w:cs="宋体"/>
          <w:b/>
          <w:sz w:val="28"/>
          <w:szCs w:val="28"/>
        </w:rPr>
      </w:pPr>
      <w:r>
        <w:rPr>
          <w:rFonts w:hint="eastAsia" w:ascii="宋体" w:hAnsi="宋体" w:cs="宋体"/>
          <w:b/>
          <w:sz w:val="28"/>
          <w:szCs w:val="28"/>
        </w:rPr>
        <w:t xml:space="preserve">（一）保险费及服务费</w:t>
      </w:r>
      <w:r/>
    </w:p>
    <w:p>
      <w:pPr>
        <w:ind w:firstLine="420"/>
        <w:spacing w:line="440" w:lineRule="exact"/>
        <w:rPr>
          <w:rFonts w:ascii="宋体" w:hAnsi="宋体" w:cs="宋体"/>
          <w:sz w:val="28"/>
          <w:szCs w:val="28"/>
        </w:rPr>
      </w:pPr>
      <w:r>
        <w:rPr>
          <w:rFonts w:hint="eastAsia" w:ascii="宋体" w:hAnsi="宋体" w:cs="宋体"/>
          <w:sz w:val="28"/>
          <w:szCs w:val="28"/>
        </w:rPr>
        <w:t xml:space="preserve">合同总金额：</w:t>
      </w:r>
      <w:r>
        <w:rPr>
          <w:rFonts w:hint="eastAsia" w:ascii="宋体" w:hAnsi="宋体" w:cs="宋体"/>
          <w:sz w:val="28"/>
          <w:szCs w:val="28"/>
          <w:u w:val="single"/>
        </w:rPr>
        <w:t xml:space="preserve">（大写）    元；       （小写）</w:t>
      </w:r>
      <w:r>
        <w:rPr>
          <w:rFonts w:hint="eastAsia" w:ascii="宋体" w:hAnsi="宋体" w:cs="宋体"/>
          <w:sz w:val="28"/>
          <w:szCs w:val="28"/>
        </w:rPr>
        <w:t xml:space="preserve"> 元。经双方协商一致，选择以下第（ ）种付款方式：</w:t>
      </w:r>
      <w:r/>
    </w:p>
    <w:p>
      <w:pPr>
        <w:ind w:firstLine="420"/>
        <w:spacing w:line="440" w:lineRule="exact"/>
        <w:rPr>
          <w:rFonts w:ascii="宋体" w:hAnsi="宋体" w:cs="宋体"/>
          <w:sz w:val="28"/>
          <w:szCs w:val="28"/>
        </w:rPr>
      </w:pPr>
      <w:r>
        <w:rPr>
          <w:rFonts w:hint="eastAsia" w:ascii="宋体" w:hAnsi="宋体" w:cs="宋体"/>
          <w:b/>
          <w:bCs/>
          <w:sz w:val="28"/>
          <w:szCs w:val="28"/>
        </w:rPr>
        <w:t xml:space="preserve">付款方式一：提交预付款保函的</w:t>
      </w:r>
      <w:r>
        <w:rPr>
          <w:rFonts w:hint="eastAsia" w:ascii="宋体" w:hAnsi="宋体" w:cs="宋体"/>
          <w:sz w:val="28"/>
          <w:szCs w:val="28"/>
        </w:rPr>
        <w:t xml:space="preserve"> </w:t>
      </w:r>
      <w:r/>
    </w:p>
    <w:p>
      <w:pPr>
        <w:ind w:firstLine="420"/>
        <w:spacing w:line="440" w:lineRule="exact"/>
        <w:rPr>
          <w:rFonts w:ascii="宋体" w:hAnsi="宋体" w:cs="宋体"/>
          <w:sz w:val="28"/>
          <w:szCs w:val="28"/>
        </w:rPr>
      </w:pPr>
      <w:r>
        <w:rPr>
          <w:rFonts w:hint="eastAsia" w:ascii="宋体" w:hAnsi="宋体" w:cs="宋体"/>
          <w:sz w:val="28"/>
          <w:szCs w:val="28"/>
        </w:rPr>
        <w:t xml:space="preserve">合同价款的百分之十(10%)即</w:t>
      </w:r>
      <w:r>
        <w:rPr>
          <w:rFonts w:hint="eastAsia" w:ascii="宋体" w:hAnsi="宋体" w:cs="宋体"/>
          <w:sz w:val="28"/>
          <w:szCs w:val="28"/>
          <w:u w:val="single"/>
        </w:rPr>
        <w:t xml:space="preserve">￥         ，大写：人民币         元整</w:t>
      </w:r>
      <w:r>
        <w:rPr>
          <w:rFonts w:hint="eastAsia" w:ascii="宋体" w:hAnsi="宋体" w:cs="宋体"/>
          <w:sz w:val="28"/>
          <w:szCs w:val="28"/>
        </w:rPr>
        <w:t xml:space="preserve">，在双方签订合同后15个工作日内且乙方提供相同金额的银行保函后，由甲方办理政府采购资金结算手续支付给乙方。</w:t>
      </w:r>
      <w:r>
        <w:rPr>
          <w:rFonts w:hint="eastAsia" w:ascii="宋体" w:hAnsi="宋体" w:cs="宋体"/>
          <w:sz w:val="28"/>
          <w:szCs w:val="28"/>
        </w:rPr>
        <w:br/>
      </w:r>
      <w:r>
        <w:rPr>
          <w:rFonts w:hint="eastAsia" w:ascii="宋体" w:hAnsi="宋体" w:cs="宋体"/>
          <w:sz w:val="28"/>
          <w:szCs w:val="28"/>
        </w:rPr>
        <w:t xml:space="preserve">    合同价款的百分之九十(90%)即</w:t>
      </w:r>
      <w:r>
        <w:rPr>
          <w:rFonts w:hint="eastAsia" w:ascii="宋体" w:hAnsi="宋体" w:cs="宋体"/>
          <w:sz w:val="28"/>
          <w:szCs w:val="28"/>
          <w:u w:val="single"/>
        </w:rPr>
        <w:t xml:space="preserve">￥         ，大写：人民币         元整</w:t>
      </w:r>
      <w:r>
        <w:rPr>
          <w:rFonts w:hint="eastAsia" w:ascii="宋体" w:hAnsi="宋体" w:cs="宋体"/>
          <w:sz w:val="28"/>
          <w:szCs w:val="28"/>
        </w:rPr>
        <w:t xml:space="preserve">，在双方签订合同后15个工作日内，由甲方办理政府采购资金结算手续支付给乙方。 </w:t>
      </w:r>
      <w:r/>
    </w:p>
    <w:p>
      <w:pPr>
        <w:ind w:firstLine="420"/>
        <w:spacing w:line="440" w:lineRule="exact"/>
        <w:rPr>
          <w:rFonts w:ascii="宋体" w:hAnsi="宋体" w:cs="宋体"/>
          <w:sz w:val="28"/>
          <w:szCs w:val="28"/>
        </w:rPr>
      </w:pPr>
      <w:r>
        <w:rPr>
          <w:rFonts w:hint="eastAsia" w:ascii="宋体" w:hAnsi="宋体" w:cs="宋体"/>
          <w:sz w:val="28"/>
          <w:szCs w:val="28"/>
        </w:rPr>
        <w:t xml:space="preserve">乙方需提交的支付文件包括：乙方出具的符合甲方要求的全额正式发票。</w:t>
      </w:r>
      <w:r/>
    </w:p>
    <w:p>
      <w:pPr>
        <w:ind w:firstLine="420"/>
        <w:spacing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付款方式二：不提交预付款保函的</w:t>
      </w:r>
      <w:r/>
    </w:p>
    <w:p>
      <w:pPr>
        <w:ind w:firstLine="42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1、本协议生效后，在甲方资金到位后30日内，甲方按本合同金额的80%向乙方支付保险费，202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年1月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日前再向乙方支付本合同金额的10%，2026年</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日前甲方向乙方完成本合同金额剩余10%的支付。</w:t>
      </w:r>
      <w:r/>
    </w:p>
    <w:p>
      <w:pPr>
        <w:ind w:firstLine="420"/>
        <w:spacing w:line="440" w:lineRule="exact"/>
        <w:rPr>
          <w:rFonts w:ascii="宋体" w:hAnsi="宋体" w:cs="宋体"/>
          <w:sz w:val="28"/>
          <w:szCs w:val="28"/>
        </w:rPr>
      </w:pPr>
      <w:r>
        <w:rPr>
          <w:rFonts w:hint="eastAsia" w:ascii="宋体" w:hAnsi="宋体" w:cs="宋体"/>
          <w:color w:val="auto"/>
          <w:sz w:val="28"/>
          <w:szCs w:val="28"/>
          <w:highlight w:val="none"/>
        </w:rPr>
        <w:t xml:space="preserve">2、甲方每季度初将对乙方或者乙方委托的第三方机构的考核结果和处</w:t>
      </w:r>
      <w:r>
        <w:rPr>
          <w:rFonts w:hint="eastAsia" w:ascii="宋体" w:hAnsi="宋体" w:cs="宋体"/>
          <w:sz w:val="28"/>
          <w:szCs w:val="28"/>
        </w:rPr>
        <w:t xml:space="preserve">罚金额通知乙方，乙方按照甲方要求在扣除处罚金额后，支付其上季度发生的排查建档、巡查费用。</w:t>
      </w:r>
      <w:r/>
    </w:p>
    <w:p>
      <w:pPr>
        <w:ind w:firstLine="420"/>
        <w:spacing w:line="440" w:lineRule="exact"/>
        <w:rPr>
          <w:rFonts w:ascii="宋体" w:hAnsi="宋体" w:cs="宋体"/>
          <w:sz w:val="28"/>
          <w:szCs w:val="28"/>
        </w:rPr>
      </w:pPr>
      <w:r>
        <w:rPr>
          <w:rFonts w:hint="eastAsia" w:ascii="宋体" w:hAnsi="宋体" w:cs="宋体"/>
          <w:sz w:val="28"/>
          <w:szCs w:val="28"/>
        </w:rPr>
        <w:t xml:space="preserve">3、合同期内因房屋安全动态监测服务工作量调整导致房屋动态监测服务费用的差异超过合同约定的，合同期满时则按照有关约定进行结算，对于超过合同中动态监测服务费用的部分，首先从甲方对第三方专业监测机构的各期考核处罚金额中抵扣，不足部分则由甲方另行支付给乙方；对于低于合同中动态监测服务费用的部分，则由乙方返还给甲方，并同时将甲方对第三方专业监测机构的各期考核处罚金返还给甲方。</w:t>
      </w:r>
      <w:r/>
    </w:p>
    <w:p>
      <w:pPr>
        <w:ind w:firstLine="420"/>
        <w:spacing w:line="440" w:lineRule="exact"/>
        <w:rPr>
          <w:rFonts w:ascii="宋体" w:hAnsi="宋体" w:cs="宋体"/>
          <w:b/>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根据甲方要求，因房屋数量及实际需求导致巡查工作量发生变化，因工作量调整导致服务费用在±10%以内（含10%），则年度巡查服务费不做调整；如超出此范围，则超出部分按照实际检查服务数量调整。其中工作量为暂定的项目，按实际工作量按实结算。</w:t>
      </w:r>
      <w:r/>
    </w:p>
    <w:p>
      <w:pPr>
        <w:ind w:firstLine="562"/>
        <w:spacing w:line="440" w:lineRule="exact"/>
        <w:rPr>
          <w:rFonts w:ascii="宋体" w:hAnsi="宋体" w:cs="宋体"/>
          <w:b/>
          <w:sz w:val="28"/>
          <w:szCs w:val="28"/>
        </w:rPr>
      </w:pPr>
      <w:r>
        <w:rPr>
          <w:rFonts w:hint="eastAsia" w:ascii="宋体" w:hAnsi="宋体" w:cs="宋体"/>
          <w:b/>
          <w:sz w:val="28"/>
          <w:szCs w:val="28"/>
        </w:rPr>
        <w:t xml:space="preserve">九、服务部分工作考核</w:t>
      </w:r>
      <w:r/>
    </w:p>
    <w:p>
      <w:pPr>
        <w:ind w:firstLine="420"/>
        <w:spacing w:line="440" w:lineRule="exact"/>
        <w:rPr>
          <w:rFonts w:ascii="宋体" w:hAnsi="宋体" w:cs="宋体"/>
          <w:sz w:val="28"/>
          <w:szCs w:val="28"/>
        </w:rPr>
      </w:pPr>
      <w:r>
        <w:rPr>
          <w:rFonts w:hint="eastAsia" w:ascii="宋体" w:hAnsi="宋体" w:cs="宋体"/>
          <w:sz w:val="28"/>
          <w:szCs w:val="28"/>
        </w:rPr>
        <w:t xml:space="preserve">（1）乙方或其委托的第三方专业监测机构应依合同的技术要求和实施方案实施监测服务，且必须接受甲方和甲方各属地街道社区的监督管理，甲方根据督查情况按季度对其实施考核，考核主要考察乙方委托的第三方专业机构对项目技术要求的落实情况，1次考核不符合要求的，将罚处合同价款的2%，2次考核不符合要求的，将罚处合同价款的5%，3次考核不符合要求的，甲方有权取消合同。</w:t>
      </w:r>
      <w:r/>
    </w:p>
    <w:p>
      <w:pPr>
        <w:ind w:firstLine="420"/>
        <w:spacing w:line="440" w:lineRule="exact"/>
        <w:rPr>
          <w:rFonts w:ascii="宋体" w:hAnsi="宋体" w:cs="宋体"/>
          <w:sz w:val="28"/>
          <w:szCs w:val="28"/>
        </w:rPr>
      </w:pPr>
      <w:r>
        <w:rPr>
          <w:rFonts w:hint="eastAsia" w:ascii="宋体" w:hAnsi="宋体" w:cs="宋体"/>
          <w:sz w:val="28"/>
          <w:szCs w:val="28"/>
        </w:rPr>
        <w:t xml:space="preserve">（2）乙方或其委托的第三方专业监测机构在服务过程中给业主、居民等造成的损失，由乙方或其委托的第三方专业监测机构承担。如因乙方或其委托的第三方专业监测机构的行为致不特定主体向甲方求偿并给甲方造成损失的，甲方有权直接向乙方或其委托的第三方专业监测机构追偿。</w:t>
      </w:r>
      <w:r/>
    </w:p>
    <w:p>
      <w:pPr>
        <w:ind w:firstLine="562"/>
        <w:spacing w:line="440" w:lineRule="exact"/>
        <w:rPr>
          <w:rFonts w:ascii="宋体" w:hAnsi="宋体" w:cs="宋体"/>
          <w:b/>
          <w:sz w:val="28"/>
          <w:szCs w:val="28"/>
        </w:rPr>
      </w:pPr>
      <w:r>
        <w:rPr>
          <w:rFonts w:hint="eastAsia" w:ascii="宋体" w:hAnsi="宋体" w:cs="宋体"/>
          <w:b/>
          <w:sz w:val="28"/>
          <w:szCs w:val="28"/>
        </w:rPr>
        <w:t xml:space="preserve">十、一般条款：</w:t>
      </w:r>
      <w:r/>
    </w:p>
    <w:p>
      <w:pPr>
        <w:pStyle w:val="678"/>
        <w:spacing w:line="440" w:lineRule="exact"/>
        <w:rPr>
          <w:rFonts w:ascii="宋体" w:hAnsi="宋体" w:cs="宋体"/>
          <w:sz w:val="28"/>
          <w:szCs w:val="28"/>
        </w:rPr>
      </w:pPr>
      <w:r>
        <w:rPr>
          <w:rFonts w:hint="eastAsia" w:ascii="宋体" w:hAnsi="宋体" w:cs="宋体"/>
          <w:sz w:val="28"/>
          <w:szCs w:val="28"/>
        </w:rPr>
        <w:t xml:space="preserve">（一）合同生效</w:t>
      </w:r>
      <w:r/>
    </w:p>
    <w:p>
      <w:pPr>
        <w:pStyle w:val="678"/>
        <w:spacing w:line="440" w:lineRule="exact"/>
        <w:rPr>
          <w:rFonts w:ascii="宋体" w:hAnsi="宋体" w:cs="宋体"/>
          <w:sz w:val="28"/>
          <w:szCs w:val="28"/>
        </w:rPr>
      </w:pPr>
      <w:r>
        <w:rPr>
          <w:rFonts w:hint="eastAsia" w:ascii="宋体" w:hAnsi="宋体" w:cs="宋体"/>
          <w:sz w:val="28"/>
          <w:szCs w:val="28"/>
        </w:rPr>
        <w:t xml:space="preserve">本合同自签订之日起生效。</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（二）合同变更</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本合同如有未尽事宜，经各方协商确定后可随时以书面形式修改或补充，并作为本合同的组成部分。</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（三）保密条款</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除非下列情况，自本合同生效之日起，各方不得将本合同涉及的所有有形、无形的信息及资料等泄露给其他方：</w:t>
      </w:r>
      <w:r/>
    </w:p>
    <w:p>
      <w:pPr>
        <w:pStyle w:val="678"/>
        <w:spacing w:line="440" w:lineRule="exact"/>
        <w:rPr>
          <w:rFonts w:ascii="宋体" w:hAnsi="宋体" w:cs="宋体"/>
          <w:sz w:val="28"/>
          <w:szCs w:val="28"/>
        </w:rPr>
      </w:pPr>
      <w:r>
        <w:rPr>
          <w:rFonts w:hint="eastAsia" w:ascii="宋体" w:hAnsi="宋体" w:cs="宋体"/>
          <w:sz w:val="28"/>
          <w:szCs w:val="28"/>
        </w:rPr>
        <w:t xml:space="preserve">1、为执行本合同而提供相关服务的雇员或顾问；</w:t>
      </w:r>
      <w:r/>
    </w:p>
    <w:p>
      <w:pPr>
        <w:pStyle w:val="678"/>
        <w:spacing w:line="440" w:lineRule="exact"/>
        <w:rPr>
          <w:rFonts w:ascii="宋体" w:hAnsi="宋体" w:cs="宋体"/>
          <w:sz w:val="28"/>
          <w:szCs w:val="28"/>
        </w:rPr>
      </w:pPr>
      <w:r>
        <w:rPr>
          <w:rFonts w:hint="eastAsia" w:ascii="宋体" w:hAnsi="宋体" w:cs="宋体"/>
          <w:sz w:val="28"/>
          <w:szCs w:val="28"/>
        </w:rPr>
        <w:t xml:space="preserve">2、应法律或司法管辖要求而提供；</w:t>
      </w:r>
      <w:r/>
    </w:p>
    <w:p>
      <w:pPr>
        <w:pStyle w:val="678"/>
        <w:spacing w:line="440" w:lineRule="exact"/>
        <w:rPr>
          <w:rFonts w:ascii="宋体" w:hAnsi="宋体" w:cs="宋体"/>
          <w:sz w:val="28"/>
          <w:szCs w:val="28"/>
        </w:rPr>
      </w:pPr>
      <w:r>
        <w:rPr>
          <w:rFonts w:hint="eastAsia" w:ascii="宋体" w:hAnsi="宋体" w:cs="宋体"/>
          <w:sz w:val="28"/>
          <w:szCs w:val="28"/>
        </w:rPr>
        <w:t xml:space="preserve">3、经各方书面同意。</w:t>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041212"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3" o:title=""/>
              </v:shape>
            </w:pict>
          </mc:Fallback>
        </mc:AlternateConten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本合同一方因过错造成泄密而给另一方造成损失的，由过错一方承担经济赔偿责任。</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保险合同终止时本条款继续有效两年。</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（四）法律责任</w:t>
      </w:r>
      <w:r/>
    </w:p>
    <w:p>
      <w:pPr>
        <w:ind w:firstLine="548"/>
        <w:spacing w:line="440" w:lineRule="exact"/>
        <w:rPr>
          <w:rFonts w:ascii="宋体" w:hAnsi="宋体" w:cs="宋体"/>
          <w:sz w:val="28"/>
          <w:szCs w:val="28"/>
        </w:rPr>
      </w:pPr>
      <w:r>
        <w:rPr>
          <w:rFonts w:hint="eastAsia" w:ascii="宋体" w:hAnsi="宋体" w:cs="宋体"/>
          <w:sz w:val="28"/>
          <w:szCs w:val="28"/>
        </w:rPr>
        <w:t xml:space="preserve">由于本合同一方当事人的过错，造成合同不能履行或者不能完全履行的，由有过错的一方依法承担违约责任和相应法律责任；如属双方当事人的过错，则根据双方当事人过错的实际情况，由双方当事人分别承担各自应负的违约责任和相应法律责任；</w:t>
      </w:r>
      <w:r/>
    </w:p>
    <w:p>
      <w:pPr>
        <w:ind w:firstLine="548"/>
        <w:spacing w:line="440" w:lineRule="exact"/>
        <w:rPr>
          <w:rFonts w:ascii="宋体" w:hAnsi="宋体" w:cs="宋体"/>
          <w:sz w:val="28"/>
          <w:szCs w:val="28"/>
        </w:rPr>
      </w:pPr>
      <w:r>
        <w:rPr>
          <w:rFonts w:hint="eastAsia" w:ascii="宋体" w:hAnsi="宋体" w:cs="宋体"/>
          <w:sz w:val="28"/>
          <w:szCs w:val="28"/>
        </w:rPr>
        <w:t xml:space="preserve">若发生违约情形，违约方依法依约承担其相应法律责任后，除非守约方同意终止本合同的，本合同仍须继续履行。</w:t>
      </w:r>
      <w:r/>
    </w:p>
    <w:p>
      <w:pPr>
        <w:ind w:firstLine="548"/>
        <w:spacing w:line="440" w:lineRule="exact"/>
        <w:rPr>
          <w:rFonts w:ascii="宋体" w:hAnsi="宋体" w:cs="宋体"/>
          <w:sz w:val="28"/>
          <w:szCs w:val="28"/>
        </w:rPr>
      </w:pPr>
      <w:r>
        <w:rPr>
          <w:rFonts w:hint="eastAsia" w:ascii="宋体" w:hAnsi="宋体" w:cs="宋体"/>
          <w:sz w:val="28"/>
          <w:szCs w:val="28"/>
        </w:rPr>
        <w:t xml:space="preserve">（五）争议解决</w:t>
      </w:r>
      <w:r/>
    </w:p>
    <w:p>
      <w:pPr>
        <w:ind w:firstLine="548"/>
        <w:spacing w:line="440" w:lineRule="exact"/>
        <w:rPr>
          <w:rFonts w:ascii="宋体" w:hAnsi="宋体" w:cs="宋体"/>
          <w:sz w:val="28"/>
          <w:szCs w:val="28"/>
        </w:rPr>
      </w:pPr>
      <w:r>
        <w:rPr>
          <w:rFonts w:hint="eastAsia" w:ascii="宋体" w:hAnsi="宋体" w:cs="宋体"/>
          <w:sz w:val="28"/>
          <w:szCs w:val="28"/>
        </w:rPr>
        <w:t xml:space="preserve">本合同未尽事宜，或因履行本保险合同发生争议，由合同当事人协商解决。协商不成的，双方均可向甲方所在地有管辖权的人民法院提起诉讼。</w:t>
      </w:r>
      <w:r/>
    </w:p>
    <w:p>
      <w:pPr>
        <w:ind w:firstLine="548"/>
        <w:spacing w:line="440" w:lineRule="exact"/>
        <w:rPr>
          <w:rFonts w:ascii="宋体" w:hAnsi="宋体" w:cs="宋体"/>
          <w:sz w:val="28"/>
          <w:szCs w:val="28"/>
        </w:rPr>
      </w:pPr>
      <w:r>
        <w:rPr>
          <w:rFonts w:hint="eastAsia" w:ascii="宋体" w:hAnsi="宋体" w:cs="宋体"/>
          <w:sz w:val="28"/>
          <w:szCs w:val="28"/>
        </w:rPr>
        <w:t xml:space="preserve">与本保险合同有关的以及履行本保险合同产生的一切争议处理适用中华人民共和国法律（不包括港澳台地区法律）。</w:t>
      </w:r>
      <w:r/>
    </w:p>
    <w:p>
      <w:pPr>
        <w:ind w:firstLine="548"/>
        <w:spacing w:line="440" w:lineRule="exact"/>
        <w:rPr>
          <w:rFonts w:ascii="宋体" w:hAnsi="宋体" w:cs="宋体"/>
          <w:sz w:val="28"/>
          <w:szCs w:val="28"/>
        </w:rPr>
      </w:pPr>
      <w:r>
        <w:rPr>
          <w:rFonts w:hint="eastAsia" w:ascii="宋体" w:hAnsi="宋体" w:cs="宋体"/>
          <w:sz w:val="28"/>
          <w:szCs w:val="28"/>
        </w:rPr>
        <w:t xml:space="preserve">（六）其他</w:t>
      </w:r>
      <w:r/>
    </w:p>
    <w:p>
      <w:pPr>
        <w:ind w:firstLine="548"/>
        <w:spacing w:line="440" w:lineRule="exact"/>
        <w:rPr>
          <w:rFonts w:ascii="宋体" w:hAnsi="宋体" w:cs="宋体"/>
          <w:sz w:val="28"/>
          <w:szCs w:val="28"/>
        </w:rPr>
      </w:pPr>
      <w:r>
        <w:rPr>
          <w:rFonts w:hint="eastAsia" w:ascii="宋体" w:hAnsi="宋体" w:cs="宋体"/>
          <w:sz w:val="28"/>
          <w:szCs w:val="28"/>
        </w:rPr>
        <w:t xml:space="preserve">1、本合同一式</w:t>
      </w:r>
      <w:r>
        <w:rPr>
          <w:rFonts w:hint="eastAsia" w:ascii="宋体" w:hAnsi="宋体" w:cs="宋体"/>
          <w:sz w:val="28"/>
          <w:szCs w:val="28"/>
          <w:u w:val="single"/>
        </w:rPr>
        <w:t xml:space="preserve">    </w:t>
      </w:r>
      <w:r>
        <w:rPr>
          <w:rFonts w:hint="eastAsia" w:ascii="宋体" w:hAnsi="宋体" w:cs="宋体"/>
          <w:sz w:val="28"/>
          <w:szCs w:val="28"/>
        </w:rPr>
        <w:t xml:space="preserve">份，甲乙双方各持</w:t>
      </w:r>
      <w:r>
        <w:rPr>
          <w:rFonts w:hint="eastAsia" w:ascii="宋体" w:hAnsi="宋体" w:cs="宋体"/>
          <w:sz w:val="28"/>
          <w:szCs w:val="28"/>
          <w:u w:val="single"/>
        </w:rPr>
        <w:t xml:space="preserve">     </w:t>
      </w:r>
      <w:r>
        <w:rPr>
          <w:rFonts w:hint="eastAsia" w:ascii="宋体" w:hAnsi="宋体" w:cs="宋体"/>
          <w:sz w:val="28"/>
          <w:szCs w:val="28"/>
        </w:rPr>
        <w:t xml:space="preserve">份，每份合同具有同等效力。双方对本合同的任何补充修改，均应以书面形式为准。补充修改合同经双方授权签字盖章生效后，即作为本合同的组成部分。</w:t>
      </w:r>
      <w:r/>
    </w:p>
    <w:p>
      <w:pPr>
        <w:ind w:firstLine="548"/>
        <w:spacing w:line="440" w:lineRule="exact"/>
        <w:rPr>
          <w:rFonts w:hint="eastAsia" w:ascii="宋体" w:hAnsi="宋体" w:cs="宋体"/>
          <w:sz w:val="28"/>
          <w:szCs w:val="28"/>
        </w:rPr>
      </w:pPr>
      <w:r>
        <w:rPr>
          <w:rFonts w:hint="eastAsia" w:ascii="宋体" w:hAnsi="宋体" w:cs="宋体"/>
          <w:sz w:val="28"/>
          <w:szCs w:val="28"/>
        </w:rPr>
        <w:t xml:space="preserve">2、本合同的附件作为本合同的组成部分，如与本合同条款有冲突，不利于投保人、被保险人（或受益人）的条款，以本合同条款为准。</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甲方（盖章）：</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法定代表人（或负责人）或授权代理人：</w:t>
      </w:r>
      <w:r/>
    </w:p>
    <w:p>
      <w:pPr>
        <w:pStyle w:val="678"/>
        <w:ind w:left="0" w:right="420" w:firstLine="0"/>
        <w:jc w:val="both"/>
        <w:spacing w:line="440" w:lineRule="exact"/>
        <w:rPr>
          <w:rFonts w:ascii="宋体" w:hAnsi="宋体" w:cs="宋体"/>
          <w:sz w:val="28"/>
          <w:szCs w:val="28"/>
        </w:rPr>
      </w:pPr>
      <w:r>
        <w:rPr>
          <w:rFonts w:hint="eastAsia" w:ascii="宋体" w:hAnsi="宋体" w:cs="宋体"/>
          <w:sz w:val="28"/>
          <w:szCs w:val="28"/>
        </w:rPr>
        <w:t xml:space="preserve">年   月   日</w:t>
      </w:r>
      <w:r/>
    </w:p>
    <w:p>
      <w:pPr>
        <w:pStyle w:val="678"/>
        <w:ind w:firstLine="0"/>
        <w:spacing w:line="440" w:lineRule="exact"/>
        <w:rPr>
          <w:rFonts w:ascii="宋体" w:hAnsi="宋体" w:cs="宋体"/>
          <w:sz w:val="28"/>
          <w:szCs w:val="28"/>
        </w:rPr>
      </w:pPr>
      <w:r>
        <w:rPr>
          <w:rFonts w:ascii="宋体" w:hAnsi="宋体" w:cs="宋体"/>
          <w:sz w:val="28"/>
          <w:szCs w:val="28"/>
        </w:rPr>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乙方（盖章）：</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法定代表人（负责人）或授权代理人：</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开户银行：</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银行帐号：</w:t>
      </w:r>
      <w:r/>
    </w:p>
    <w:p>
      <w:pPr>
        <w:rPr>
          <w:rFonts w:hint="eastAsia" w:ascii="宋体" w:hAnsi="宋体" w:eastAsia="宋体" w:cs="宋体"/>
          <w:b/>
          <w:bCs/>
          <w:sz w:val="30"/>
          <w:szCs w:val="44"/>
        </w:rPr>
      </w:pPr>
      <w:r>
        <w:rPr>
          <w:rFonts w:hint="eastAsia" w:ascii="宋体" w:hAnsi="宋体" w:cs="宋体"/>
          <w:sz w:val="28"/>
          <w:szCs w:val="28"/>
        </w:rPr>
        <w:t xml:space="preserve">年   月   日</w:t>
      </w:r>
      <w:r/>
    </w:p>
    <w:p>
      <w:pPr>
        <w:rPr>
          <w:rFonts w:hint="eastAsia" w:ascii="宋体" w:hAnsi="宋体" w:eastAsia="宋体" w:cs="宋体"/>
        </w:rPr>
      </w:pPr>
      <w:r>
        <w:rPr>
          <w:highlight w:val="none"/>
        </w:rPr>
        <w:br w:type="page" w:clear="all"/>
      </w:r>
      <w:r/>
    </w:p>
    <w:p>
      <w:pPr>
        <w:pStyle w:val="884"/>
        <w:jc w:val="center"/>
        <w:rPr>
          <w:highlight w:val="none"/>
        </w:rPr>
      </w:pPr>
      <w:r>
        <w:rPr>
          <w:rFonts w:hint="eastAsia" w:ascii="宋体" w:hAnsi="宋体" w:eastAsia="宋体" w:cs="宋体"/>
          <w:b/>
          <w:bCs/>
          <w:sz w:val="30"/>
          <w:szCs w:val="44"/>
        </w:rPr>
        <w:t xml:space="preserve">第六章  采购需求</w:t>
      </w:r>
      <w:bookmarkEnd w:id="12"/>
      <w:r/>
      <w:bookmarkEnd w:id="13"/>
      <w:r/>
      <w:bookmarkEnd w:id="14"/>
      <w:r/>
      <w:r/>
    </w:p>
    <w:p>
      <w:pPr>
        <w:ind w:firstLine="561"/>
        <w:spacing w:line="440" w:lineRule="exact"/>
        <w:rPr>
          <w:rFonts w:ascii="宋体" w:hAnsi="宋体" w:cs="宋体"/>
          <w:b/>
          <w:bCs/>
          <w:color w:val="000000" w:themeColor="text1"/>
          <w:sz w:val="28"/>
          <w:szCs w:val="28"/>
          <w14:textFill>
            <w14:solidFill>
              <w14:schemeClr w14:val="tx1"/>
            </w14:solidFill>
          </w14:textFill>
        </w:rPr>
      </w:pPr>
      <w:r/>
      <w:bookmarkStart w:id="18" w:name="_Toc522790136"/>
      <w:r/>
      <w:bookmarkStart w:id="19" w:name="_Toc523404701"/>
      <w:r>
        <w:rPr>
          <w:rFonts w:hint="eastAsia" w:ascii="宋体" w:hAnsi="宋体" w:cs="宋体"/>
          <w:b/>
          <w:bCs/>
          <w:color w:val="000000" w:themeColor="text1"/>
          <w:sz w:val="28"/>
          <w:szCs w:val="28"/>
          <w14:textFill>
            <w14:solidFill>
              <w14:schemeClr w14:val="tx1"/>
            </w14:solidFill>
          </w14:textFill>
        </w:rPr>
        <w:t xml:space="preserve">一、本项目不接受超过</w:t>
      </w:r>
      <w:r>
        <w:rPr>
          <w:rFonts w:hint="eastAsia" w:ascii="宋体" w:hAnsi="宋体" w:cs="宋体"/>
          <w:b/>
          <w:bCs/>
          <w:color w:val="000000" w:themeColor="text1"/>
          <w:sz w:val="28"/>
          <w:szCs w:val="28"/>
          <w:lang w:val="en-US" w:eastAsia="zh-CN"/>
          <w14:textFill>
            <w14:solidFill>
              <w14:schemeClr w14:val="tx1"/>
            </w14:solidFill>
          </w14:textFill>
        </w:rPr>
        <w:t xml:space="preserve">511</w:t>
      </w:r>
      <w:r>
        <w:rPr>
          <w:rFonts w:hint="eastAsia" w:ascii="宋体" w:hAnsi="宋体" w:cs="宋体"/>
          <w:b/>
          <w:bCs/>
          <w:color w:val="000000" w:themeColor="text1"/>
          <w:sz w:val="28"/>
          <w:szCs w:val="28"/>
          <w14:textFill>
            <w14:solidFill>
              <w14:schemeClr w14:val="tx1"/>
            </w14:solidFill>
          </w14:textFill>
        </w:rPr>
        <w:t xml:space="preserve">万元人民币（采购项目预算金额）的投标报价。</w:t>
      </w:r>
      <w:r/>
    </w:p>
    <w:p>
      <w:pPr>
        <w:ind w:firstLine="562"/>
        <w:spacing w:line="44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二、项目说明</w:t>
      </w:r>
      <w:r/>
    </w:p>
    <w:p>
      <w:pPr>
        <w:ind w:firstLine="560"/>
        <w:spacing w:line="440" w:lineRule="exact"/>
        <w:rPr>
          <w:rFonts w:ascii="宋体" w:hAnsi="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（一）采购人：徐州市泉山区房产服务中心</w:t>
      </w:r>
      <w:r/>
    </w:p>
    <w:p>
      <w:pPr>
        <w:ind w:firstLine="560"/>
        <w:spacing w:line="440" w:lineRule="exact"/>
        <w:rPr>
          <w:rFonts w:hint="eastAsia" w:ascii="宋体" w:hAnsi="宋体" w:eastAsia="宋体" w:cs="宋体"/>
          <w:bCs/>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（二</w:t>
      </w:r>
      <w:r>
        <w:rPr>
          <w:rFonts w:hint="eastAsia" w:ascii="宋体" w:hAnsi="宋体" w:cs="宋体"/>
          <w:bCs/>
          <w:color w:val="000000" w:themeColor="text1"/>
          <w:sz w:val="28"/>
          <w:szCs w:val="28"/>
          <w14:textFill>
            <w14:solidFill>
              <w14:schemeClr w14:val="tx1"/>
            </w14:solidFill>
          </w14:textFill>
        </w:rPr>
        <w:t xml:space="preserve">）项目名称：</w:t>
      </w:r>
      <w:r>
        <w:rPr>
          <w:rFonts w:hint="eastAsia" w:ascii="宋体" w:hAnsi="宋体" w:cs="宋体"/>
          <w:bCs/>
          <w:color w:val="000000" w:themeColor="text1"/>
          <w:sz w:val="28"/>
          <w:szCs w:val="28"/>
          <w:lang w:eastAsia="zh-CN"/>
          <w14:textFill>
            <w14:solidFill>
              <w14:schemeClr w14:val="tx1"/>
            </w14:solidFill>
          </w14:textFill>
        </w:rPr>
        <w:t xml:space="preserve">购买泉山区老旧房屋安全保险服务</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（三）采购标的：泉山区行政辖区内建造于2002年之前多业主住宅全部投保老旧房屋的安全保险(整体约</w:t>
      </w:r>
      <w:r>
        <w:rPr>
          <w:rFonts w:hint="eastAsia" w:ascii="宋体" w:hAnsi="宋体" w:cs="宋体"/>
          <w:bCs/>
          <w:color w:val="000000" w:themeColor="text1"/>
          <w:sz w:val="28"/>
          <w:szCs w:val="28"/>
          <w:lang w:val="en-US" w:eastAsia="zh-CN"/>
          <w14:textFill>
            <w14:solidFill>
              <w14:schemeClr w14:val="tx1"/>
            </w14:solidFill>
          </w14:textFill>
        </w:rPr>
        <w:t xml:space="preserve">3249</w:t>
      </w:r>
      <w:r>
        <w:rPr>
          <w:rFonts w:hint="eastAsia" w:ascii="宋体" w:hAnsi="宋体" w:cs="宋体"/>
          <w:bCs/>
          <w:color w:val="000000" w:themeColor="text1"/>
          <w:sz w:val="28"/>
          <w:szCs w:val="28"/>
          <w14:textFill>
            <w14:solidFill>
              <w14:schemeClr w14:val="tx1"/>
            </w14:solidFill>
          </w14:textFill>
        </w:rPr>
        <w:t xml:space="preserve">幢，建筑面积约</w:t>
      </w:r>
      <w:r>
        <w:rPr>
          <w:rFonts w:hint="eastAsia" w:ascii="宋体" w:hAnsi="宋体" w:cs="宋体"/>
          <w:bCs/>
          <w:color w:val="000000" w:themeColor="text1"/>
          <w:sz w:val="28"/>
          <w:szCs w:val="28"/>
          <w:lang w:val="en-US" w:eastAsia="zh-CN"/>
          <w14:textFill>
            <w14:solidFill>
              <w14:schemeClr w14:val="tx1"/>
            </w14:solidFill>
          </w14:textFill>
        </w:rPr>
        <w:t xml:space="preserve">1058.92</w:t>
      </w:r>
      <w:r>
        <w:rPr>
          <w:rFonts w:hint="eastAsia" w:ascii="宋体" w:hAnsi="宋体" w:cs="宋体"/>
          <w:bCs/>
          <w:color w:val="000000" w:themeColor="text1"/>
          <w:sz w:val="28"/>
          <w:szCs w:val="28"/>
          <w14:textFill>
            <w14:solidFill>
              <w14:schemeClr w14:val="tx1"/>
            </w14:solidFill>
          </w14:textFill>
        </w:rPr>
        <w:t xml:space="preserve">万平方米,最终参保数量以投保人向保险人提交的投保清单为准）。</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（四）本项目不属于专门面向中小微企业采购的项目。</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lang w:eastAsia="zh-CN"/>
          <w14:textFill>
            <w14:solidFill>
              <w14:schemeClr w14:val="tx1"/>
            </w14:solidFill>
          </w14:textFill>
        </w:rPr>
        <w:t xml:space="preserve">购买泉山区老旧房屋安全保险服务</w:t>
      </w:r>
      <w:r>
        <w:rPr>
          <w:rFonts w:hint="eastAsia" w:ascii="宋体" w:hAnsi="宋体" w:cs="宋体"/>
          <w:bCs/>
          <w:color w:val="000000" w:themeColor="text1"/>
          <w:sz w:val="28"/>
          <w:szCs w:val="28"/>
          <w14:textFill>
            <w14:solidFill>
              <w14:schemeClr w14:val="tx1"/>
            </w14:solidFill>
          </w14:textFill>
        </w:rPr>
        <w:t xml:space="preserve">对应的中小企业划分标准所属行业（其他未列明</w:t>
      </w:r>
      <w:r>
        <w:rPr>
          <w:rFonts w:hint="eastAsia" w:ascii="宋体" w:hAnsi="宋体" w:cs="宋体"/>
          <w:bCs/>
          <w:color w:val="000000" w:themeColor="text1"/>
          <w:sz w:val="28"/>
          <w:szCs w:val="28"/>
          <w:lang w:eastAsia="zh-CN"/>
          <w14:textFill>
            <w14:solidFill>
              <w14:schemeClr w14:val="tx1"/>
            </w14:solidFill>
          </w14:textFill>
        </w:rPr>
        <w:t xml:space="preserve">行业</w:t>
      </w:r>
      <w:r>
        <w:rPr>
          <w:rFonts w:hint="eastAsia" w:ascii="宋体" w:hAnsi="宋体" w:cs="宋体"/>
          <w:bCs/>
          <w:color w:val="000000" w:themeColor="text1"/>
          <w:sz w:val="28"/>
          <w:szCs w:val="28"/>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（五）评审委员会启动异常低价投标审查的情形和具体要求包括：</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1.评审过程中出现下列情形之一的，评审委员会应当启动异常低价投标审查程序：</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①投标报价低于采购项目预算50%的，即投标报价&lt;采购项目预算×50%</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②投标(响应)报价低于采购项目最高限价45%的，即投标(响应)报价&lt;采购项目最高限价×45%;</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③评审委员会认定的供应商报价过低、有可能影响产品质量或者不能诚信履约的其他情形。</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2.启动异常</w:t>
      </w:r>
      <w:r>
        <w:rPr>
          <w:rFonts w:hint="eastAsia" w:ascii="宋体" w:hAnsi="宋体" w:cs="宋体"/>
          <w:bCs/>
          <w:color w:val="000000" w:themeColor="text1"/>
          <w:sz w:val="28"/>
          <w:szCs w:val="28"/>
          <w14:textFill>
            <w14:solidFill>
              <w14:schemeClr w14:val="tx1"/>
            </w14:solidFill>
          </w14:textFill>
        </w:rPr>
        <w:t xml:space="preserve">低价投标审查后，评审委员会应当通过“苏采云”系统要求相关投标人在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审委员会应当将其作为无效投标处理。审查相关情况应当在评标报告中进行记录。</w:t>
      </w:r>
      <w:r/>
    </w:p>
    <w:p>
      <w:pPr>
        <w:ind w:firstLine="562"/>
        <w:spacing w:line="440" w:lineRule="exact"/>
        <w:rPr>
          <w:rFonts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三、项目概述</w:t>
      </w:r>
      <w:r/>
    </w:p>
    <w:p>
      <w:pPr>
        <w:ind w:firstLine="560"/>
        <w:spacing w:line="440" w:lineRule="exact"/>
        <w:rPr>
          <w:rFonts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为进一步加强徐州市房屋安全和使用管理，贯彻落实住建部关于开展房屋养老金试点工作的创新部署，推动房屋安全保险制度试点工作有序进行，现对</w:t>
      </w:r>
      <w:r>
        <w:rPr>
          <w:rFonts w:hint="eastAsia" w:ascii="宋体" w:hAnsi="宋体" w:cs="宋体"/>
          <w:bCs/>
          <w:color w:val="000000" w:themeColor="text1"/>
          <w:sz w:val="28"/>
          <w:szCs w:val="28"/>
          <w14:textFill>
            <w14:solidFill>
              <w14:schemeClr w14:val="tx1"/>
            </w14:solidFill>
          </w14:textFill>
        </w:rPr>
        <w:t xml:space="preserve">泉山区行政辖区内建造于2002年之前多业主住宅全部投保老旧房屋安全保险进行招标采购(整体约</w:t>
      </w:r>
      <w:r>
        <w:rPr>
          <w:rFonts w:hint="eastAsia" w:ascii="宋体" w:hAnsi="宋体" w:cs="宋体"/>
          <w:bCs/>
          <w:color w:val="000000" w:themeColor="text1"/>
          <w:sz w:val="28"/>
          <w:szCs w:val="28"/>
          <w:lang w:val="en-US" w:eastAsia="zh-CN"/>
          <w14:textFill>
            <w14:solidFill>
              <w14:schemeClr w14:val="tx1"/>
            </w14:solidFill>
          </w14:textFill>
        </w:rPr>
        <w:t xml:space="preserve">3249</w:t>
      </w:r>
      <w:r>
        <w:rPr>
          <w:rFonts w:hint="eastAsia" w:ascii="宋体" w:hAnsi="宋体" w:cs="宋体"/>
          <w:bCs/>
          <w:color w:val="000000" w:themeColor="text1"/>
          <w:sz w:val="28"/>
          <w:szCs w:val="28"/>
          <w14:textFill>
            <w14:solidFill>
              <w14:schemeClr w14:val="tx1"/>
            </w14:solidFill>
          </w14:textFill>
        </w:rPr>
        <w:t xml:space="preserve">幢，建筑面积约</w:t>
      </w:r>
      <w:r>
        <w:rPr>
          <w:rFonts w:hint="eastAsia" w:ascii="宋体" w:hAnsi="宋体" w:cs="宋体"/>
          <w:bCs/>
          <w:color w:val="000000" w:themeColor="text1"/>
          <w:sz w:val="28"/>
          <w:szCs w:val="28"/>
          <w:lang w:val="en-US" w:eastAsia="zh-CN"/>
          <w14:textFill>
            <w14:solidFill>
              <w14:schemeClr w14:val="tx1"/>
            </w14:solidFill>
          </w14:textFill>
        </w:rPr>
        <w:t xml:space="preserve">1058.92</w:t>
      </w:r>
      <w:r>
        <w:rPr>
          <w:rFonts w:hint="eastAsia" w:ascii="宋体" w:hAnsi="宋体" w:cs="宋体"/>
          <w:bCs/>
          <w:color w:val="000000" w:themeColor="text1"/>
          <w:sz w:val="28"/>
          <w:szCs w:val="28"/>
          <w14:textFill>
            <w14:solidFill>
              <w14:schemeClr w14:val="tx1"/>
            </w14:solidFill>
          </w14:textFill>
        </w:rPr>
        <w:t xml:space="preserve">万平方米,最终参保数量以投保人向保险人提交的投保清单为准）。</w:t>
      </w:r>
      <w:r/>
    </w:p>
    <w:p>
      <w:pPr>
        <w:ind w:firstLine="562"/>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四、参保方式</w:t>
      </w:r>
      <w:r/>
    </w:p>
    <w:p>
      <w:pPr>
        <w:pStyle w:val="745"/>
        <w:ind w:left="0" w:firstLine="560"/>
        <w:jc w:val="left"/>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由徐州市泉山区房产服务中心作为投保人，将泉山区行政辖区城镇开发边界内2002年以前建造的多业主住宅作为保险标的</w:t>
      </w:r>
      <w:r>
        <w:rPr>
          <w:rFonts w:hint="eastAsia" w:ascii="宋体" w:hAnsi="宋体" w:cs="宋体"/>
          <w:bCs/>
          <w:color w:val="000000" w:themeColor="text1"/>
          <w:sz w:val="28"/>
          <w:szCs w:val="28"/>
          <w14:textFill>
            <w14:solidFill>
              <w14:schemeClr w14:val="tx1"/>
            </w14:solidFill>
          </w14:textFill>
        </w:rPr>
        <w:t xml:space="preserve">(最终参保数量以投保人向保险人提交的投保清单为准）</w:t>
      </w:r>
      <w:r>
        <w:rPr>
          <w:rFonts w:hint="eastAsia" w:ascii="宋体" w:hAnsi="宋体" w:cs="宋体"/>
          <w:color w:val="000000" w:themeColor="text1"/>
          <w:sz w:val="28"/>
          <w:szCs w:val="28"/>
          <w14:textFill>
            <w14:solidFill>
              <w14:schemeClr w14:val="tx1"/>
            </w14:solidFill>
          </w14:textFill>
        </w:rPr>
        <w:t xml:space="preserve">进行统一投保，通过公开招标的方式选择1家保险公司作为本项目的独家承保机构。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本项目保险期限一年。</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中标保险机构应在投保人指定时限内完成承保及保险单的出具工作，并开展相关保险服务。保险合同生效后，采购人在财政资金到位后支付。</w:t>
      </w:r>
      <w:r/>
    </w:p>
    <w:p>
      <w:pPr>
        <w:ind w:firstLine="562"/>
        <w:spacing w:line="440" w:lineRule="exact"/>
        <w:rPr>
          <w:rFonts w:ascii="宋体" w:hAnsi="宋体" w:cs="宋体"/>
          <w:b/>
          <w:color w:val="000000" w:themeColor="text1"/>
          <w:sz w:val="28"/>
          <w:szCs w:val="28"/>
          <w14:textFill>
            <w14:solidFill>
              <w14:schemeClr w14:val="tx1"/>
            </w14:solidFill>
          </w14:textFill>
        </w:rPr>
      </w:pPr>
      <w:r/>
      <w:bookmarkStart w:id="20" w:name="六、项目要求（一）服务要求"/>
      <w:r/>
      <w:bookmarkEnd w:id="20"/>
      <w:r>
        <w:rPr>
          <w:rFonts w:hint="eastAsia" w:ascii="宋体" w:hAnsi="宋体" w:cs="宋体"/>
          <w:b/>
          <w:color w:val="000000" w:themeColor="text1"/>
          <w:sz w:val="28"/>
          <w:szCs w:val="28"/>
          <w14:textFill>
            <w14:solidFill>
              <w14:schemeClr w14:val="tx1"/>
            </w14:solidFill>
          </w14:textFill>
        </w:rPr>
        <w:t xml:space="preserve">五、项目要求</w:t>
      </w:r>
      <w:r/>
    </w:p>
    <w:p>
      <w:pPr>
        <w:pStyle w:val="709"/>
        <w:ind w:firstLine="560"/>
        <w:spacing w:line="44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（一）保险模式</w:t>
      </w:r>
      <w:r/>
    </w:p>
    <w:p>
      <w:pPr>
        <w:pStyle w:val="709"/>
        <w:ind w:firstLine="560"/>
        <w:spacing w:line="44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房屋安全保险采用“保险+服务”模式，由保险公司提供兜底保障和房屋安全动态监测服务，监测机构受保险公司委托，对于投保房屋地基基础和主体结构开展日常监测、风险评价和安全预警等工作。</w:t>
      </w:r>
      <w:r/>
    </w:p>
    <w:p>
      <w:pPr>
        <w:pStyle w:val="708"/>
        <w:numPr>
          <w:ilvl w:val="0"/>
          <w:numId w:val="1"/>
        </w:numPr>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保险服务</w:t>
      </w:r>
      <w:r/>
    </w:p>
    <w:p>
      <w:pPr>
        <w:pStyle w:val="708"/>
        <w:numPr>
          <w:ilvl w:val="0"/>
          <w:numId w:val="2"/>
        </w:numPr>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保险方案</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城镇房屋保险由主险及附加险构成，其中主险为房屋倒塌损失保险，附加险包括附加预防处置费用、第三者责任、倒塌临时安置费、撤离临时安置费。</w:t>
      </w:r>
      <w:r/>
    </w:p>
    <w:tbl>
      <w:tblPr>
        <w:tblStyle w:val="674"/>
        <w:tblpPr w:horzAnchor="page" w:tblpX="686" w:vertAnchor="text" w:tblpY="148" w:leftFromText="180" w:topFromText="0" w:rightFromText="180" w:bottomFromText="0"/>
        <w:tblW w:w="10635" w:type="dxa"/>
        <w:tblInd w:w="0" w:type="dxa"/>
        <w:tblLayout w:type="fixed"/>
        <w:tblCellMar>
          <w:left w:w="108" w:type="dxa"/>
          <w:top w:w="0" w:type="dxa"/>
          <w:right w:w="108" w:type="dxa"/>
          <w:bottom w:w="0" w:type="dxa"/>
        </w:tblCellMar>
        <w:tblLook w:val="04A0" w:firstRow="1" w:lastRow="0" w:firstColumn="1" w:lastColumn="0" w:noHBand="0" w:noVBand="1"/>
      </w:tblPr>
      <w:tblGrid>
        <w:gridCol w:w="945"/>
        <w:gridCol w:w="1455"/>
        <w:gridCol w:w="2280"/>
        <w:gridCol w:w="2173"/>
        <w:gridCol w:w="2537"/>
        <w:gridCol w:w="1245"/>
      </w:tblGrid>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保险项目</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保险金额</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保险责任</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免赔额</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城房倒塌</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2500元/平方米</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房屋全部倒塌</w:t>
            </w:r>
            <w:r/>
          </w:p>
        </w:tc>
        <w:tc>
          <w:tcPr>
            <w:shd w:val="clear" w:color="auto" w:fill="auto"/>
            <w:tcBorders>
              <w:top w:val="single" w:color="000000" w:sz="4" w:space="0"/>
              <w:left w:val="single" w:color="auto" w:sz="4" w:space="0"/>
              <w:right w:val="single" w:color="000000" w:sz="4" w:space="0"/>
            </w:tcBorders>
            <w:tcW w:w="2537"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总体约</w:t>
            </w:r>
            <w:r>
              <w:rPr>
                <w:rFonts w:hint="eastAsia" w:ascii="宋体" w:hAnsi="宋体" w:cs="宋体"/>
                <w:color w:val="000000" w:themeColor="text1"/>
                <w:sz w:val="28"/>
                <w:szCs w:val="28"/>
                <w:lang w:val="en-US" w:eastAsia="zh-CN"/>
                <w14:textFill>
                  <w14:solidFill>
                    <w14:schemeClr w14:val="tx1"/>
                  </w14:solidFill>
                </w14:textFill>
              </w:rPr>
              <w:t xml:space="preserve">2647300</w:t>
            </w:r>
            <w:r>
              <w:rPr>
                <w:rFonts w:hint="eastAsia" w:ascii="宋体" w:hAnsi="宋体" w:cs="宋体"/>
                <w:color w:val="000000" w:themeColor="text1"/>
                <w:sz w:val="28"/>
                <w:szCs w:val="28"/>
                <w14:textFill>
                  <w14:solidFill>
                    <w14:schemeClr w14:val="tx1"/>
                  </w14:solidFill>
                </w14:textFill>
              </w:rPr>
              <w:t xml:space="preserve">万</w:t>
            </w:r>
            <w:r/>
          </w:p>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（以实际参保数量为准）</w:t>
            </w:r>
            <w:r/>
          </w:p>
        </w:tc>
        <w:tc>
          <w:tcPr>
            <w:shd w:val="clear" w:color="auto" w:fill="auto"/>
            <w:tcBorders>
              <w:top w:val="single" w:color="000000" w:sz="4" w:space="0"/>
              <w:left w:val="single" w:color="auto" w:sz="4" w:space="0"/>
              <w:right w:val="single" w:color="000000" w:sz="4" w:space="0"/>
            </w:tcBorders>
            <w:tcW w:w="124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2500元/平方米</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附加房屋部分倒塌</w:t>
            </w:r>
            <w:r/>
          </w:p>
        </w:tc>
        <w:tc>
          <w:tcPr>
            <w:shd w:val="clear" w:color="auto" w:fill="auto"/>
            <w:tcBorders>
              <w:left w:val="single" w:color="auto" w:sz="4" w:space="0"/>
              <w:bottom w:val="single" w:color="000000" w:sz="4" w:space="0"/>
              <w:right w:val="single" w:color="000000" w:sz="4" w:space="0"/>
            </w:tcBorders>
            <w:tcW w:w="2537"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left w:val="single" w:color="auto" w:sz="4" w:space="0"/>
              <w:bottom w:val="single" w:color="000000" w:sz="4" w:space="0"/>
              <w:right w:val="single" w:color="000000" w:sz="4" w:space="0"/>
            </w:tcBorders>
            <w:tcW w:w="124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附加预防处置费用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保险标的存在危险状况，聘请专业技术部门进行鉴定费用和处置费用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预防处置费包括房屋鉴定和处置费用，每次事故责任限额及全年累计事故责任限额200万</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第三者责任险</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因房屋倒塌造成居民人身伤亡的损失</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全年累计500万，其中每次事故限额200万，包括医疗费100万；每人责任限额30万，包括医疗费10万</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倒塌临时安置费</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房屋倒塌，致使居民家庭无法继续居住生活，保险人赔偿临时安置费用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每户5元/平方/天，每次及累计保障180天，在限额内按照实际发生金额据实赔偿</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紧急撤离安置费</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政府根据房屋实际危险状况发出强制撤离令或因房屋安全进行维修加固需要人员搬离而发生的临时安置费用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每户5元/平方/天，每次事故保障180天，在限额内按照实际发生金额据实赔偿</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bl>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特别约定：</w:t>
      </w:r>
      <w:r/>
    </w:p>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①双方同意对于在投保年度内出现参保房屋新增的情况，自投保人向保险人提交房屋清单后，自动纳入本保险保障范围。对于新增房屋比例在10%以内的情况，保险公司免予收取增加的保险费。</w:t>
      </w:r>
      <w:r/>
    </w:p>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发生保险事故，需要对保险标的进行鉴定、加固和维修的，为确保施工质量符合相关标准，保险人应按照相关规定使用经甲方确认的具有相关资质的施工单位，鉴定加固维修工作经房屋安全主管部门验收合格后，保险人可以在获得投保人授权后，直接将赔款赔付给相关实施单位。</w:t>
      </w:r>
      <w:r/>
    </w:p>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2、理赔服务</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保险机构应按投标文件承诺的理赔事项开展相关服务工作，包括但不限于以下几点：</w:t>
      </w:r>
      <w:r/>
    </w:p>
    <w:p>
      <w:pPr>
        <w:ind w:firstLine="560"/>
        <w:spacing w:line="44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（1）全天候接报案。保险机构应当建立全</w:t>
      </w:r>
      <w:r>
        <w:rPr>
          <w:rFonts w:hint="eastAsia" w:ascii="宋体" w:hAnsi="宋体" w:cs="宋体"/>
          <w:sz w:val="28"/>
          <w:szCs w:val="28"/>
        </w:rPr>
        <w:t xml:space="preserve">天候接报案制度，设立房屋安全保险理赔服务团队和24小时保险服务专线电话，接到报案后，应当根据案件情况积极协助抢险救灾、事故处理等相关工作。除投保人外，投保人授权单位如各街道办事处均可以自主向保险机构报案，并办理相关索赔手续。</w:t>
      </w:r>
      <w:r/>
    </w:p>
    <w:p>
      <w:pPr>
        <w:ind w:firstLine="560"/>
        <w:spacing w:line="440" w:lineRule="exact"/>
        <w:rPr>
          <w:rFonts w:ascii="宋体" w:hAnsi="宋体" w:cs="宋体"/>
          <w:sz w:val="28"/>
          <w:szCs w:val="28"/>
        </w:rPr>
      </w:pPr>
      <w:r>
        <w:rPr>
          <w:rFonts w:hint="eastAsia" w:ascii="宋体" w:hAnsi="宋体" w:cs="宋体"/>
          <w:sz w:val="28"/>
          <w:szCs w:val="28"/>
        </w:rPr>
        <w:t xml:space="preserve">（2）快速理赔。保险公司应当建立便捷的理赔流程，受理被保险人的理赔申请，当发生保险期限和保险责任范围内的事故时，保险机构应当按照规定时限和理赔规范、程序以及相关工程技术标准组织勘查和维修。</w:t>
      </w:r>
      <w:r/>
    </w:p>
    <w:p>
      <w:pPr>
        <w:pStyle w:val="745"/>
        <w:ind w:left="0" w:firstLine="560"/>
        <w:jc w:val="left"/>
        <w:spacing w:line="440" w:lineRule="exact"/>
        <w:rPr>
          <w:rFonts w:ascii="宋体" w:hAnsi="宋体" w:cs="宋体"/>
          <w:sz w:val="28"/>
          <w:szCs w:val="28"/>
        </w:rPr>
        <w:outlineLvl w:val="1"/>
      </w:pPr>
      <w:r>
        <w:rPr>
          <w:rFonts w:hint="eastAsia" w:ascii="宋体" w:hAnsi="宋体" w:cs="宋体"/>
          <w:sz w:val="28"/>
          <w:szCs w:val="28"/>
        </w:rPr>
        <w:t xml:space="preserve">（3）理赔争议。被保险人对是否属于保险责任和维修结果是否符合要求存有异议的，可以与保险公司共同委托有资质的保险公估公司或第三方鉴定机构进行鉴定。鉴定结果属于保险责任的，鉴定费用由保险公司承担;鉴定结果不属于保险责任的，鉴定费用由申请方承担。</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3、风险减量等房屋安全动态监测服务</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承保保险公司应承诺为投保人提供风险减量服务，通过“人工动态巡检+自动化监测”等手段，对参保房屋进行安全动态监测，突出房屋使用过程中的风险辨识、风险评估和事故隐患排查，发挥保险经济补偿和社会管理职能，为房屋安全和使用管理提供有力保障。</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承保保险公司应在保单生效后一个月内，应在投保人的指导和配合下，完成对承保房屋的隐患排查工作，并出具相应的隐患排查报告。具体排查内容及要求以投保人与承保保险公司沟通确定的隐患排查方案为准。</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承保保险公司应在住建部门的技术指导下聘请第三方监测机构开展房屋安全动态监测服务，且该第三方房屋安全动态监测专业机构应当在徐州市房屋安全鉴定机构备案名录库中选择，不</w:t>
      </w:r>
      <w:r>
        <w:rPr>
          <w:rFonts w:hint="eastAsia" w:ascii="宋体" w:hAnsi="宋体" w:eastAsia="宋体" w:cs="宋体"/>
          <w:color w:val="000000" w:themeColor="text1"/>
          <w:sz w:val="28"/>
          <w:szCs w:val="28"/>
          <w14:textFill>
            <w14:solidFill>
              <w14:schemeClr w14:val="tx1"/>
            </w14:solidFill>
          </w14:textFill>
        </w:rPr>
        <w:t xml:space="preserve">得出现挂靠、转包、分包等行为。动态监测服务方案（包括但不限于相关人员及设备投入明细、动态监测平台建设方案、房屋风险防控中心建设方案、现场巡检方案等）应满足投保人实际使用需要，经投保人审核确认后，在服务协议中予以明确。</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房屋动态监测系统的建设需符合国家和省市有关标准和要求，建成后的房屋动态监测系统（包括软硬件设备）及产生的相关监测数据归投保人所有。</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1）基本要求。保险机构应建立房屋安全动态监测服务制度，突出房屋使用过程中的风险辨识、风险评估和事故隐患排查，为投保房屋提供人工和自动化动态监测服务，发挥保险经济补偿和社会管理职能，为房屋安全和使用管理提供有力保障。</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2）服务内容。房屋安全动态监测工作须严格按照事先制定的动态监测方案实施现场检查。包括人工动态监测和自动化动态监测。保险公司委托第三方房屋安全动态监测专业机构针对房屋主体结构和可能影响主体结构安全的周边环境所进行的现场检查(监测数据采集及安全状况初步判断)、分析计算、出具报告等，并由此承担相应法律责任的工作。</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（3）服务频次。根据投保房屋安全情况，设置月度、季度、年度动态监测服务，同时开展临时房屋安全动态监测接报案检查和房屋安全动态监测灾害性天气检查。</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4）服务机构。监测机构应具有独立法人资格，应当在本市房屋安全鉴定机构备案名录库中选择，有健全的组织机构和管理制度、责任制度、完善的技术管理与质量保证体系，同时配套上线监测系统。在具体项目中须安排本单位的在职人员从事房屋安全动态监测工作，不得出现挂靠、转包、分包等行为。</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5）服务要求。房屋安全动态监测服务机构按要求开展动态监测服务，对检查中发现存在的事故隐患应及时以书面形式提出存在的问题、风险防控措施及建议，对重大事故隐患或同一类隐患频发的应及时上报政府主管部门，会商保险公司制定专项风险控制方案。</w:t>
      </w:r>
      <w:r/>
    </w:p>
    <w:p>
      <w:pPr>
        <w:ind w:firstLine="560"/>
        <w:spacing w:line="44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（6）服务评估。</w:t>
      </w:r>
      <w:r>
        <w:rPr>
          <w:rFonts w:hint="eastAsia" w:ascii="宋体" w:hAnsi="宋体" w:cs="宋体"/>
          <w:sz w:val="28"/>
          <w:szCs w:val="28"/>
        </w:rPr>
        <w:t xml:space="preserve">保险公司应制定考核标准并结合监测服务合同的相关内容，建立针对监测机构的考核制度，对其所完成的监测工作进行定期考核。 强化诚信、廉洁信用管理，确保服务质量，对责任心不强、履职不到位、能力不匹配的房屋安全动态监测机构要及时开展约谈警示，直至解除合同。</w:t>
      </w:r>
      <w:r/>
    </w:p>
    <w:p>
      <w:pPr>
        <w:ind w:firstLine="560"/>
        <w:spacing w:line="44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（三）信息管理</w:t>
      </w:r>
      <w:r/>
    </w:p>
    <w:p>
      <w:pPr>
        <w:ind w:firstLine="560"/>
        <w:spacing w:line="440" w:lineRule="exact"/>
        <w:rPr>
          <w:rFonts w:ascii="宋体" w:hAnsi="宋体" w:cs="宋体"/>
          <w:sz w:val="28"/>
          <w:szCs w:val="28"/>
        </w:rPr>
      </w:pPr>
      <w:r>
        <w:rPr>
          <w:rFonts w:hint="eastAsia" w:ascii="宋体" w:hAnsi="宋体" w:cs="宋体"/>
          <w:sz w:val="28"/>
          <w:szCs w:val="28"/>
        </w:rPr>
        <w:t xml:space="preserve">1、保险公司应指导房屋安全动态监测服务机构建立服务档案，记录和保留风险管理服务的文档资料，确保服务过程可追溯。动态监测服务机构应确保服务档案真实完整，至少保留至相应保险责任期限结束，其间不得丢失、篡改、隐匿和销毁，服务期满一并移交。 </w:t>
      </w:r>
      <w:r/>
    </w:p>
    <w:p>
      <w:pPr>
        <w:ind w:firstLine="560"/>
        <w:spacing w:line="440" w:lineRule="exact"/>
        <w:rPr>
          <w:rFonts w:ascii="宋体" w:hAnsi="宋体" w:cs="宋体"/>
          <w:sz w:val="28"/>
          <w:szCs w:val="28"/>
        </w:rPr>
      </w:pPr>
      <w:r>
        <w:rPr>
          <w:rFonts w:hint="eastAsia" w:ascii="宋体" w:hAnsi="宋体" w:cs="宋体"/>
          <w:sz w:val="28"/>
          <w:szCs w:val="28"/>
        </w:rPr>
        <w:t xml:space="preserve">2、动态监测服务机构应上线房屋安全保险管理信息平台（监测系统），并负责正常运行和维护，系统功能模块包括承保信息管理、风险管理、理赔管理、数据统计等，汇集房屋安全保险承保信息、参建各方信息、风险管理信息、体检信息和理赔信息，该检测系统应与徐州市房屋安全管理信息系统对接，辅助政府主管部门及保险公司等进行有效的日常管理。平台软硬件设备归投保人所有，服务期满一并移交。</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（四）宣传服务</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承保保险公司应在保期内通过网络、媒体、进社区宣讲等方式，积极配合投保人开展房屋安全宣传工作。房屋安全知识宣传每季度至少应组织一次，宣传方案应在活动开展前报投保人审批。</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（五）咨询服务</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保险公司应充分利用其在全国范围内同类项目服务中的成功经验，积极为投保人及住建部门在房屋养老金制度和房屋安全保险制度的建立及完善过程中提供咨询服务。承保保险公司可以在全国范围内聘请相关领域的专家学者或与投保人共同组建专家工作组，通过现场考察、学术交流等方式，共同参与徐州市城镇房屋养老金、房屋安全保险制度相关咨政报告、制度文本、评估/总结报告的撰写工作，以确保相关制度建立的科学性。同时也可以围绕项目形成的科研成果积极参与相关新闻报道、专著、论文的创作工作，为本项目的可持续健康发展提供技术支持。</w:t>
      </w:r>
      <w:r/>
    </w:p>
    <w:p>
      <w:pPr>
        <w:ind w:firstLine="560"/>
        <w:spacing w:line="440" w:lineRule="exact"/>
        <w:rPr>
          <w:rFonts w:ascii="宋体" w:hAnsi="宋体" w:cs="宋体"/>
          <w:sz w:val="28"/>
          <w:szCs w:val="28"/>
        </w:rPr>
      </w:pPr>
      <w:r>
        <w:rPr>
          <w:rFonts w:hint="eastAsia" w:ascii="宋体" w:hAnsi="宋体" w:cs="宋体"/>
          <w:sz w:val="28"/>
          <w:szCs w:val="28"/>
        </w:rPr>
        <w:t xml:space="preserve">（六）监督管理</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1、保险机构或动态监测服务机构存在以下情形的，主管部门应抄告相关管理部门，并按照保险服务承诺告知进行处理</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（1）未按相关规定、合同约定开展房屋安全动态监测服务;</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（2）转包、违法违规分包业务;</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（3）机构、相关人员存在弄虚作假、徇私舞弊;</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（4）按照规定和标准应当检查发现的问题未发现，或者发现问题后未按照规定程序处理，或者多次受到投保人有效投诉的;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（5）对所服务的投保项目发生安全责任事故，动态监测服务存在缺失或过失的;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（6）承保、动态监测服务等信息多次未及时上传至监测系统；</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（7）其他违法违规行为。</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2、支持保险机构及房屋安全动态监测服务机构在主管部门的指导下，建立协商机制和自律组织，加强自主约束管理，对房屋安全动态监测成效开展评估服务。</w:t>
      </w:r>
      <w:r/>
    </w:p>
    <w:p>
      <w:pPr>
        <w:ind w:firstLine="560"/>
        <w:spacing w:line="440" w:lineRule="exact"/>
        <w:rPr>
          <w:rFonts w:ascii="宋体" w:hAnsi="宋体" w:cs="宋体"/>
          <w:sz w:val="28"/>
          <w:szCs w:val="28"/>
        </w:rPr>
      </w:pPr>
      <w:r>
        <w:rPr>
          <w:rFonts w:hint="eastAsia" w:ascii="宋体" w:hAnsi="宋体" w:cs="宋体"/>
          <w:sz w:val="28"/>
          <w:szCs w:val="28"/>
        </w:rPr>
        <w:t xml:space="preserve">3、市有关行政主管部门应当依据工作职责依法加强对保险机构的监督管理，对房屋安全保险实施情况开展监督检查，加强信用体系建设。</w:t>
      </w:r>
      <w:r/>
    </w:p>
    <w:p>
      <w:pPr>
        <w:ind w:firstLine="562"/>
        <w:spacing w:line="440" w:lineRule="exact"/>
        <w:rPr>
          <w:rFonts w:ascii="宋体" w:hAnsi="宋体" w:cs="宋体"/>
          <w:b/>
          <w:sz w:val="28"/>
          <w:szCs w:val="28"/>
        </w:rPr>
      </w:pPr>
      <w:r>
        <w:rPr>
          <w:rFonts w:hint="eastAsia" w:ascii="宋体" w:hAnsi="宋体" w:cs="宋体"/>
          <w:b/>
          <w:sz w:val="28"/>
          <w:szCs w:val="28"/>
        </w:rPr>
        <w:t xml:space="preserve">六、符合性审查</w:t>
      </w:r>
      <w:r/>
    </w:p>
    <w:p>
      <w:pPr>
        <w:pStyle w:val="745"/>
        <w:ind w:left="0" w:firstLine="562"/>
        <w:jc w:val="left"/>
        <w:spacing w:line="440" w:lineRule="exact"/>
        <w:rPr>
          <w:rFonts w:ascii="宋体" w:hAnsi="宋体" w:cs="宋体"/>
          <w:b/>
          <w:bCs/>
          <w:sz w:val="28"/>
          <w:szCs w:val="28"/>
        </w:rPr>
        <w:outlineLvl w:val="1"/>
      </w:pPr>
      <w:r>
        <w:rPr>
          <w:rFonts w:hint="eastAsia" w:ascii="宋体" w:hAnsi="宋体" w:cs="宋体"/>
          <w:b/>
          <w:bCs/>
          <w:sz w:val="28"/>
          <w:szCs w:val="28"/>
        </w:rPr>
        <w:t xml:space="preserve">第三方房屋安全动态监测机构要求：投标人委托的第三方房屋安全动态监测机构必须在徐州市房屋安全鉴定机构备案名录库中，投标人在投标文件中提供第三方房屋安全动态监测机构承诺书（格式自拟），或者提供第三方房屋安全动态监测机构的名单和鉴定机构备案名录库的截图，否则在符合性审查时按照投标无效处理。</w:t>
      </w:r>
      <w:r/>
    </w:p>
    <w:p>
      <w:pPr>
        <w:ind w:firstLine="562"/>
        <w:spacing w:line="440" w:lineRule="exact"/>
        <w:rPr>
          <w:rFonts w:ascii="宋体" w:hAnsi="宋体" w:cs="宋体"/>
          <w:b/>
          <w:sz w:val="28"/>
          <w:szCs w:val="28"/>
        </w:rPr>
      </w:pPr>
      <w:r>
        <w:rPr>
          <w:rFonts w:hint="eastAsia" w:ascii="宋体" w:hAnsi="宋体" w:cs="宋体"/>
          <w:b/>
          <w:sz w:val="28"/>
          <w:szCs w:val="28"/>
        </w:rPr>
        <w:t xml:space="preserve">七、履约考核及履约保证金</w:t>
      </w:r>
      <w:r/>
    </w:p>
    <w:p>
      <w:pPr>
        <w:ind w:firstLine="560"/>
        <w:spacing w:line="440" w:lineRule="exact"/>
        <w:rPr>
          <w:rFonts w:ascii="宋体" w:hAnsi="宋体" w:cs="宋体"/>
          <w:sz w:val="28"/>
          <w:szCs w:val="28"/>
        </w:rPr>
      </w:pPr>
      <w:r>
        <w:rPr>
          <w:rFonts w:hint="eastAsia" w:ascii="宋体" w:hAnsi="宋体" w:cs="宋体"/>
          <w:sz w:val="28"/>
          <w:szCs w:val="28"/>
        </w:rPr>
        <w:t xml:space="preserve">为确保本项目平稳运行，提高保险机构服务质量，本项目履约保证金为人民币10万元，由中标人在领取中标通知书前向采购人一次性足额缴纳。采购人可委托第三方机构每季度对承保保险公司开展一次履约考核，如发生违约行为，采购人有权没收履约保证金，违约情况约定以双方签订的服务协议为准。</w:t>
      </w:r>
      <w:r/>
    </w:p>
    <w:p>
      <w:pPr>
        <w:ind w:firstLine="562"/>
        <w:spacing w:line="440" w:lineRule="exact"/>
        <w:rPr>
          <w:rFonts w:ascii="宋体" w:hAnsi="宋体" w:cs="宋体"/>
          <w:b/>
          <w:sz w:val="28"/>
          <w:szCs w:val="28"/>
        </w:rPr>
      </w:pPr>
      <w:r>
        <w:rPr>
          <w:rFonts w:hint="eastAsia" w:ascii="宋体" w:hAnsi="宋体" w:cs="宋体"/>
          <w:b/>
          <w:sz w:val="28"/>
          <w:szCs w:val="28"/>
        </w:rPr>
        <w:t xml:space="preserve">八、其他要求</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szCs w:val="28"/>
        </w:rPr>
        <w:t xml:space="preserve">见招标文件第五章《拟签订的合同文本》。</w:t>
      </w:r>
      <w:r/>
    </w:p>
    <w:p>
      <w:pPr>
        <w:ind w:firstLine="562"/>
        <w:keepLines w:val="0"/>
        <w:keepNext w:val="0"/>
        <w:pageBreakBefore w:val="0"/>
        <w:spacing w:line="440" w:lineRule="exact"/>
        <w:widowControl w:val="off"/>
        <w:tabs>
          <w:tab w:val="left" w:pos="0" w:leader="none"/>
        </w:tabs>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884"/>
        <w:rPr>
          <w:rFonts w:hint="eastAsia" w:ascii="宋体" w:hAnsi="宋体" w:cs="宋体"/>
          <w:b/>
          <w:bCs/>
          <w:sz w:val="28"/>
          <w:szCs w:val="28"/>
        </w:rPr>
      </w:pPr>
      <w:r>
        <w:rPr>
          <w:rFonts w:hint="eastAsia" w:ascii="宋体" w:hAnsi="宋体" w:eastAsia="宋体" w:cs="宋体"/>
        </w:rPr>
        <w:t xml:space="preserve">第七章  投标文件相关格式</w:t>
      </w:r>
      <w:bookmarkEnd w:id="18"/>
      <w:r/>
      <w:bookmarkEnd w:id="19"/>
      <w:r/>
      <w:r/>
    </w:p>
    <w:p>
      <w:pPr>
        <w:ind w:firstLine="281"/>
        <w:keepLines w:val="0"/>
        <w:keepNext w:val="0"/>
        <w:pageBreakBefore w:val="0"/>
        <w:spacing w:line="520" w:lineRule="exact"/>
        <w:widowControl w:val="off"/>
        <w:rPr>
          <w:rFonts w:hint="eastAsia" w:ascii="宋体" w:hAnsi="宋体" w:cs="宋体"/>
          <w:b/>
          <w:bCs/>
          <w:sz w:val="28"/>
          <w:szCs w:val="28"/>
        </w:rPr>
      </w:pPr>
      <w:r>
        <w:rPr>
          <w:rFonts w:hint="eastAsia" w:ascii="宋体" w:hAnsi="宋体" w:cs="宋体"/>
          <w:b/>
          <w:bCs/>
          <w:sz w:val="28"/>
          <w:szCs w:val="28"/>
        </w:rPr>
        <w:t xml:space="preserve">一、投标函格式</w:t>
      </w:r>
      <w:r/>
    </w:p>
    <w:p>
      <w:pPr>
        <w:ind w:firstLine="28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u w:val="single"/>
          <w:lang w:eastAsia="zh-CN"/>
        </w:rPr>
        <w:t xml:space="preserve">万人数据科技（徐州）有限公司</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JSZC-320311-WRSJ-G2025-0002</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（投标人的名称）全权处理本次投标的有关事宜。</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有权将我单位本项目的《开标一览表》和《分项价格表》予以公示，公示的方式由</w:t>
      </w: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确定。</w:t>
      </w:r>
      <w:r/>
    </w:p>
    <w:p>
      <w:pPr>
        <w:ind w:right="29"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地址：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电话：</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移动电话：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传真： </w:t>
      </w:r>
      <w:r/>
    </w:p>
    <w:p>
      <w:pPr>
        <w:ind w:firstLine="280"/>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280"/>
        <w:jc w:val="right"/>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28"/>
          <w:szCs w:val="28"/>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lang w:eastAsia="zh-CN"/>
        </w:rPr>
        <w:t xml:space="preserve">项目名称：购买泉山区老旧房屋安全保险服务</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JSZC-320311-WRSJ-G2025-0002</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lang w:eastAsia="zh-CN"/>
        </w:rPr>
        <w:t xml:space="preserve">项目名称：购买泉山区老旧房屋安全保险服务</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JSZC-320311-WRSJ-G2025-0002</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pStyle w:val="723"/>
        <w:rPr>
          <w:rFonts w:hint="default" w:ascii="宋体" w:hAnsi="宋体" w:eastAsia="宋体" w:cs="宋体"/>
          <w:color w:val="c00000"/>
          <w:sz w:val="28"/>
          <w:szCs w:val="28"/>
          <w:lang w:val="en-US" w:eastAsia="zh-CN"/>
        </w:rPr>
      </w:pPr>
      <w:r>
        <w:rPr>
          <w:rFonts w:hint="eastAsia" w:ascii="宋体" w:hAnsi="宋体" w:cs="宋体"/>
          <w:color w:val="c00000"/>
          <w:sz w:val="28"/>
          <w:szCs w:val="28"/>
          <w:lang w:val="en-US" w:eastAsia="zh-CN"/>
        </w:rPr>
        <w:br/>
      </w:r>
      <w:r/>
    </w:p>
    <w:p>
      <w:pPr>
        <w:pStyle w:val="723"/>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rPr>
          <w:rFonts w:hint="eastAsia"/>
        </w:rPr>
      </w:pPr>
      <w:r>
        <w:rPr>
          <w:rFonts w:hint="eastAsia"/>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lang w:eastAsia="zh-CN"/>
        </w:rPr>
        <w:t xml:space="preserve">项目名称：购买泉山区老旧房屋安全保险服务</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JSZC-320311-WRSJ-G2025-0002</w:t>
      </w:r>
      <w:r/>
    </w:p>
    <w:p>
      <w:pPr>
        <w:rPr>
          <w:rFonts w:hint="eastAsia" w:ascii="宋体" w:hAnsi="宋体" w:cs="宋体"/>
          <w:sz w:val="24"/>
          <w:u w:val="single"/>
        </w:rPr>
      </w:pPr>
      <w:r>
        <w:rPr>
          <w:rFonts w:hint="eastAsia" w:ascii="宋体" w:hAnsi="宋体" w:cs="宋体"/>
          <w:sz w:val="24"/>
          <w:u w:val="single"/>
        </w:rPr>
      </w:r>
      <w:r/>
    </w:p>
    <w:tbl>
      <w:tblPr>
        <w:tblStyle w:val="674"/>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购买泉山区老旧房屋安全保险服务</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JSZC-320311-WRSJ-G2025-0002</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jc w:val="center"/>
        <w:spacing w:line="480" w:lineRule="exact"/>
        <w:rPr>
          <w:rFonts w:hint="eastAsia" w:ascii="宋体" w:hAnsi="宋体" w:cs="宋体"/>
          <w:b/>
          <w:bCs/>
          <w:sz w:val="30"/>
          <w:szCs w:val="30"/>
        </w:rPr>
      </w:pPr>
      <w:r>
        <w:rPr>
          <w:rFonts w:hint="eastAsia" w:ascii="宋体" w:hAnsi="宋体" w:cs="宋体"/>
          <w:b/>
          <w:bCs/>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徐州市泉山区房产服务中心</w:t>
      </w:r>
      <w:r>
        <w:rPr>
          <w:rFonts w:hint="eastAsia" w:ascii="宋体" w:hAnsi="宋体" w:cs="宋体"/>
          <w:sz w:val="30"/>
          <w:szCs w:val="30"/>
        </w:rPr>
        <w:t xml:space="preserve">）的（</w:t>
      </w:r>
      <w:r>
        <w:rPr>
          <w:rFonts w:hint="eastAsia" w:ascii="宋体" w:hAnsi="宋体" w:cs="宋体"/>
          <w:sz w:val="30"/>
          <w:szCs w:val="30"/>
          <w:lang w:eastAsia="zh-CN"/>
        </w:rPr>
        <w:t xml:space="preserve">购买泉山区老旧房屋安全保险服务</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购买泉山区老旧房屋安全保险服务</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val="0"/>
          <w:bCs w:val="0"/>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注：本项目采购的服务属于</w:t>
      </w:r>
      <w:r>
        <w:rPr>
          <w:rFonts w:hint="eastAsia" w:ascii="宋体" w:hAnsi="宋体" w:cs="宋体"/>
          <w:b/>
          <w:bCs/>
          <w:color w:val="auto"/>
          <w:sz w:val="30"/>
          <w:szCs w:val="30"/>
          <w:highlight w:val="none"/>
          <w:lang w:eastAsia="zh-CN"/>
        </w:rPr>
        <w:t xml:space="preserve">其他未列明行业</w:t>
      </w:r>
      <w:r>
        <w:rPr>
          <w:rFonts w:hint="eastAsia" w:ascii="宋体" w:hAnsi="宋体" w:cs="宋体"/>
          <w:b/>
          <w:bCs/>
          <w:color w:val="auto"/>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58"/>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lang w:eastAsia="zh-CN"/>
        </w:rPr>
        <w:t xml:space="preserve">项目名称：购买泉山区老旧房屋安全保险服务</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JSZC-320311-WRSJ-G2025-0002</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购买泉山区老旧房屋安全保险服务</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JSZC-320311-WRSJ-G2025-0002</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6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jc w:val="left"/>
        <w:spacing w:line="480" w:lineRule="exact"/>
        <w:rPr>
          <w:rFonts w:hint="eastAsia" w:ascii="宋体" w:hAnsi="宋体" w:cs="宋体"/>
          <w:b/>
          <w:bCs/>
          <w:sz w:val="30"/>
          <w:szCs w:val="30"/>
        </w:rPr>
      </w:pPr>
      <w:r>
        <w:rPr>
          <w:rFonts w:hint="eastAsia" w:ascii="宋体" w:hAnsi="宋体" w:cs="宋体"/>
          <w:b/>
          <w:bCs/>
          <w:sz w:val="30"/>
          <w:szCs w:val="30"/>
          <w:lang w:val="en-US" w:eastAsia="zh-CN"/>
        </w:rPr>
        <w:br w:type="page" w:clear="all"/>
      </w: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项目编号：</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项目名称：</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firstLine="56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供应商郑重声明：投标人具备履行合同（项目名称：，项目编号： 所必需的设备和专业技术能力， 具体为：</w:t>
      </w:r>
      <w:r/>
    </w:p>
    <w:p>
      <w:pPr>
        <w:keepLines w:val="0"/>
        <w:keepNext w:val="0"/>
        <w:pageBreakBefore w:val="0"/>
        <w:spacing w:line="440" w:lineRule="exact"/>
        <w:widowControl w:val="off"/>
        <w:rPr>
          <w:rFonts w:hint="eastAsia" w:ascii="宋体" w:hAnsi="宋体" w:eastAsia="宋体" w:cs="宋体"/>
          <w:b/>
          <w:bCs/>
          <w:color w:val="ff0000"/>
          <w:sz w:val="30"/>
          <w:szCs w:val="30"/>
        </w:rPr>
        <w:outlineLvl w:val="9"/>
      </w:pPr>
      <w:r>
        <w:rPr>
          <w:rFonts w:hint="eastAsia" w:ascii="宋体" w:hAnsi="宋体" w:cs="宋体"/>
          <w:b/>
          <w:bCs/>
          <w:color w:val="ff0000"/>
          <w:sz w:val="30"/>
          <w:szCs w:val="30"/>
          <w:lang w:val="en-US" w:eastAsia="zh-CN"/>
        </w:rPr>
        <w:t xml:space="preserve">至少</w:t>
      </w:r>
      <w:r>
        <w:rPr>
          <w:rFonts w:hint="eastAsia" w:ascii="宋体" w:hAnsi="宋体" w:eastAsia="宋体" w:cs="宋体"/>
          <w:b/>
          <w:bCs/>
          <w:color w:val="ff0000"/>
          <w:sz w:val="30"/>
          <w:szCs w:val="30"/>
        </w:rPr>
        <w:t xml:space="preserve">提供</w:t>
      </w:r>
      <w:r>
        <w:rPr>
          <w:rFonts w:hint="eastAsia" w:ascii="宋体" w:hAnsi="宋体" w:eastAsia="宋体" w:cs="宋体"/>
          <w:b/>
          <w:bCs/>
          <w:color w:val="ff0000"/>
          <w:sz w:val="30"/>
          <w:szCs w:val="30"/>
          <w:lang w:val="en-US" w:eastAsia="zh-CN"/>
        </w:rPr>
        <w:t xml:space="preserve">投标人的</w:t>
      </w:r>
      <w:bookmarkStart w:id="21" w:name="OLE_LINK2"/>
      <w:r>
        <w:rPr>
          <w:rFonts w:hint="eastAsia" w:ascii="宋体" w:hAnsi="宋体" w:eastAsia="宋体" w:cs="宋体"/>
          <w:b/>
          <w:bCs/>
          <w:color w:val="ff0000"/>
          <w:sz w:val="30"/>
          <w:szCs w:val="30"/>
          <w:lang w:val="en-US" w:eastAsia="zh-CN"/>
        </w:rPr>
        <w:t xml:space="preserve">国家金融监管总局（或原中国保险监督管理委员会）颁发的《经营保险业务许可证》扫描件，具有相关险种经营资质</w:t>
      </w:r>
      <w:bookmarkEnd w:id="21"/>
      <w:r>
        <w:rPr>
          <w:rFonts w:hint="eastAsia" w:ascii="宋体" w:hAnsi="宋体" w:cs="宋体"/>
          <w:b/>
          <w:bCs/>
          <w:color w:val="ff0000"/>
          <w:sz w:val="30"/>
          <w:szCs w:val="30"/>
          <w:lang w:val="en-US" w:eastAsia="zh-CN"/>
        </w:rPr>
        <w:t xml:space="preserve">。</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设备：</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专业技术能力：</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 特此声明。</w:t>
      </w:r>
      <w:r/>
    </w:p>
    <w:p>
      <w:pPr>
        <w:ind w:firstLine="600"/>
        <w:keepLines w:val="0"/>
        <w:keepNext w:val="0"/>
        <w:pageBreakBefore w:val="0"/>
        <w:spacing w:line="440" w:lineRule="exact"/>
        <w:widowControl w:val="off"/>
        <w:rPr>
          <w:rFonts w:hint="eastAsia" w:ascii="宋体" w:hAnsi="宋体" w:eastAsia="宋体" w:cs="宋体"/>
          <w:spacing w:val="6"/>
          <w:sz w:val="30"/>
          <w:szCs w:val="30"/>
        </w:rPr>
        <w:outlineLvl w:val="9"/>
      </w:pPr>
      <w:r>
        <w:rPr>
          <w:rFonts w:hint="eastAsia" w:ascii="宋体" w:hAnsi="宋体" w:eastAsia="宋体" w:cs="宋体"/>
          <w:sz w:val="30"/>
          <w:szCs w:val="30"/>
        </w:rPr>
        <w:t xml:space="preserve">供应商对上述声明的真实性负责。如有虚假，将依法承担相应责任。</w:t>
      </w:r>
      <w:r/>
    </w:p>
    <w:p>
      <w:pPr>
        <w:jc w:val="left"/>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pStyle w:val="682"/>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right="29" w:firstLine="6000"/>
        <w:jc w:val="both"/>
        <w:keepLines w:val="0"/>
        <w:keepNext w:val="0"/>
        <w:pageBreakBefore w:val="0"/>
        <w:spacing w:line="440" w:lineRule="exact"/>
        <w:widowControl w:val="off"/>
        <w:rPr>
          <w:rFonts w:hint="eastAsia" w:ascii="宋体" w:hAnsi="宋体" w:eastAsia="宋体" w:cs="宋体"/>
          <w:b w:val="0"/>
          <w:bCs w:val="0"/>
          <w:sz w:val="30"/>
          <w:szCs w:val="30"/>
        </w:rPr>
        <w:outlineLvl w:val="9"/>
      </w:pPr>
      <w:r>
        <w:rPr>
          <w:rFonts w:hint="eastAsia" w:ascii="宋体" w:hAnsi="宋体" w:eastAsia="宋体" w:cs="宋体"/>
          <w:b w:val="0"/>
          <w:bCs w:val="0"/>
          <w:sz w:val="30"/>
          <w:szCs w:val="30"/>
        </w:rPr>
        <w:t xml:space="preserve">投标人（电子签章）：</w:t>
      </w:r>
      <w:r/>
    </w:p>
    <w:p>
      <w:pPr>
        <w:ind w:firstLine="6000"/>
        <w:rPr>
          <w:rFonts w:hint="eastAsia" w:ascii="宋体" w:hAnsi="宋体" w:cs="宋体"/>
          <w:b/>
          <w:bCs/>
          <w:sz w:val="30"/>
          <w:szCs w:val="30"/>
          <w:lang w:val="en-US" w:eastAsia="zh-CN"/>
        </w:rPr>
      </w:pPr>
      <w:r>
        <w:rPr>
          <w:rFonts w:hint="eastAsia" w:ascii="宋体" w:hAnsi="宋体" w:eastAsia="宋体" w:cs="宋体"/>
          <w:b w:val="0"/>
          <w:bCs w:val="0"/>
          <w:sz w:val="30"/>
          <w:szCs w:val="30"/>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rPr>
                              <w:rStyle w:val="904"/>
                            </w:rPr>
                          </w:pPr>
                          <w:r>
                            <w:rPr>
                              <w:rStyle w:val="904"/>
                            </w:rPr>
                            <w:fldChar w:fldCharType="begin"/>
                          </w:r>
                          <w:r>
                            <w:rPr>
                              <w:rStyle w:val="904"/>
                            </w:rPr>
                            <w:instrText xml:space="preserve"> PAGE  \* MERGEFORMAT </w:instrText>
                          </w:r>
                          <w:r>
                            <w:rPr>
                              <w:rStyle w:val="904"/>
                            </w:rPr>
                            <w:fldChar w:fldCharType="separate"/>
                          </w:r>
                          <w:r>
                            <w:rPr>
                              <w:rStyle w:val="904"/>
                            </w:rPr>
                            <w:t xml:space="preserve">46</w:t>
                          </w:r>
                          <w:r>
                            <w:rPr>
                              <w:rStyle w:val="90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rPr>
                        <w:rStyle w:val="904"/>
                      </w:rPr>
                    </w:pPr>
                    <w:r>
                      <w:rPr>
                        <w:rStyle w:val="904"/>
                      </w:rPr>
                      <w:fldChar w:fldCharType="begin"/>
                    </w:r>
                    <w:r>
                      <w:rPr>
                        <w:rStyle w:val="904"/>
                      </w:rPr>
                      <w:instrText xml:space="preserve"> PAGE  \* MERGEFORMAT </w:instrText>
                    </w:r>
                    <w:r>
                      <w:rPr>
                        <w:rStyle w:val="904"/>
                      </w:rPr>
                      <w:fldChar w:fldCharType="separate"/>
                    </w:r>
                    <w:r>
                      <w:rPr>
                        <w:rStyle w:val="904"/>
                      </w:rPr>
                      <w:t xml:space="preserve">46</w:t>
                    </w:r>
                    <w:r>
                      <w:rPr>
                        <w:rStyle w:val="90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04"/>
      </w:rPr>
      <w:framePr w:wrap="around" w:vAnchor="text" w:hAnchor="margin" w:xAlign="center" w:y="1"/>
    </w:pPr>
    <w:r>
      <w:fldChar w:fldCharType="begin"/>
    </w:r>
    <w:r>
      <w:rPr>
        <w:rStyle w:val="904"/>
      </w:rPr>
      <w:instrText xml:space="preserve">PAGE  </w:instrTex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75"/>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4">
    <w:name w:val="Heading 1"/>
    <w:basedOn w:val="663"/>
    <w:next w:val="663"/>
    <w:link w:val="736"/>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37"/>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38"/>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39"/>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40"/>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41"/>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43"/>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44"/>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customStyle="1">
    <w:name w:val="文本块11"/>
    <w:basedOn w:val="676"/>
    <w:uiPriority w:val="6"/>
    <w:unhideWhenUsed/>
    <w:qFormat/>
    <w:pPr>
      <w:ind w:left="1440" w:right="1440"/>
      <w:spacing w:after="120"/>
    </w:pPr>
  </w:style>
  <w:style w:type="paragraph" w:styleId="676" w:customStyle="1">
    <w:name w:val="正文12"/>
    <w:next w:val="67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77">
    <w:name w:val="toc 7"/>
    <w:basedOn w:val="663"/>
    <w:next w:val="663"/>
    <w:uiPriority w:val="39"/>
    <w:unhideWhenUsed/>
    <w:qFormat/>
    <w:pPr>
      <w:ind w:left="1701" w:right="0" w:firstLine="0"/>
      <w:spacing w:after="57"/>
    </w:pPr>
  </w:style>
  <w:style w:type="paragraph" w:styleId="678">
    <w:name w:val="Normal Indent"/>
    <w:basedOn w:val="663"/>
    <w:next w:val="663"/>
    <w:uiPriority w:val="0"/>
    <w:qFormat/>
    <w:pPr>
      <w:ind w:firstLine="420"/>
    </w:pPr>
  </w:style>
  <w:style w:type="paragraph" w:styleId="679">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index 5"/>
    <w:basedOn w:val="663"/>
    <w:next w:val="663"/>
    <w:uiPriority w:val="0"/>
    <w:qFormat/>
    <w:pPr>
      <w:ind w:left="798"/>
      <w:jc w:val="left"/>
    </w:pPr>
    <w:rPr>
      <w:rFonts w:ascii="Calibri" w:hAnsi="Calibri"/>
    </w:rPr>
  </w:style>
  <w:style w:type="paragraph" w:styleId="681">
    <w:name w:val="annotation text"/>
    <w:basedOn w:val="663"/>
    <w:uiPriority w:val="99"/>
    <w:semiHidden/>
    <w:unhideWhenUsed/>
    <w:qFormat/>
    <w:pPr>
      <w:jc w:val="left"/>
    </w:pPr>
  </w:style>
  <w:style w:type="paragraph" w:styleId="682">
    <w:name w:val="Body Text"/>
    <w:basedOn w:val="663"/>
    <w:next w:val="683"/>
    <w:uiPriority w:val="0"/>
    <w:qFormat/>
    <w:pPr>
      <w:spacing w:after="120"/>
    </w:pPr>
  </w:style>
  <w:style w:type="paragraph" w:styleId="683" w:customStyle="1">
    <w:name w:val="一级条标题"/>
    <w:basedOn w:val="684"/>
    <w:next w:val="6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4" w:customStyle="1">
    <w:name w:val="章标题"/>
    <w:next w:val="66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85" w:customStyle="1">
    <w:name w:val="段"/>
    <w:basedOn w:val="663"/>
    <w:next w:val="663"/>
    <w:uiPriority w:val="0"/>
    <w:qFormat/>
    <w:pPr>
      <w:ind w:firstLine="200"/>
      <w:widowControl/>
    </w:pPr>
    <w:rPr>
      <w:rFonts w:hint="eastAsia" w:ascii="宋体"/>
      <w:szCs w:val="20"/>
    </w:rPr>
  </w:style>
  <w:style w:type="paragraph" w:styleId="686">
    <w:name w:val="Body Text Indent"/>
    <w:basedOn w:val="663"/>
    <w:next w:val="687"/>
    <w:uiPriority w:val="99"/>
    <w:qFormat/>
    <w:pPr>
      <w:ind w:left="420"/>
      <w:spacing w:after="120"/>
    </w:pPr>
  </w:style>
  <w:style w:type="paragraph" w:styleId="687">
    <w:name w:val="envelope return"/>
    <w:basedOn w:val="663"/>
    <w:uiPriority w:val="0"/>
    <w:qFormat/>
    <w:rPr>
      <w:rFonts w:ascii="Arial" w:hAnsi="Arial"/>
    </w:rPr>
  </w:style>
  <w:style w:type="paragraph" w:styleId="688">
    <w:name w:val="Block Text"/>
    <w:basedOn w:val="663"/>
    <w:uiPriority w:val="0"/>
    <w:qFormat/>
    <w:pPr>
      <w:ind w:left="567" w:right="454" w:firstLine="498"/>
    </w:pPr>
    <w:rPr>
      <w:rFonts w:ascii="仿宋_GB2312" w:eastAsia="仿宋_GB2312"/>
      <w:sz w:val="30"/>
    </w:rPr>
  </w:style>
  <w:style w:type="paragraph" w:styleId="689">
    <w:name w:val="toc 5"/>
    <w:basedOn w:val="663"/>
    <w:next w:val="663"/>
    <w:uiPriority w:val="39"/>
    <w:unhideWhenUsed/>
    <w:qFormat/>
    <w:pPr>
      <w:ind w:left="1134" w:right="0" w:firstLine="0"/>
      <w:spacing w:after="57"/>
    </w:pPr>
  </w:style>
  <w:style w:type="paragraph" w:styleId="690">
    <w:name w:val="toc 3"/>
    <w:basedOn w:val="663"/>
    <w:next w:val="663"/>
    <w:uiPriority w:val="39"/>
    <w:unhideWhenUsed/>
    <w:qFormat/>
    <w:pPr>
      <w:ind w:left="567" w:right="0" w:firstLine="0"/>
      <w:spacing w:after="57"/>
    </w:pPr>
  </w:style>
  <w:style w:type="paragraph" w:styleId="691">
    <w:name w:val="Plain Text"/>
    <w:basedOn w:val="663"/>
    <w:uiPriority w:val="0"/>
    <w:qFormat/>
    <w:rPr>
      <w:rFonts w:ascii="宋体" w:hAnsi="Courier New"/>
      <w:szCs w:val="20"/>
    </w:rPr>
  </w:style>
  <w:style w:type="paragraph" w:styleId="692">
    <w:name w:val="toc 8"/>
    <w:basedOn w:val="663"/>
    <w:next w:val="663"/>
    <w:uiPriority w:val="39"/>
    <w:unhideWhenUsed/>
    <w:qFormat/>
    <w:pPr>
      <w:ind w:left="1984" w:right="0" w:firstLine="0"/>
      <w:spacing w:after="57"/>
    </w:pPr>
  </w:style>
  <w:style w:type="paragraph" w:styleId="693">
    <w:name w:val="Body Text Indent 2"/>
    <w:basedOn w:val="663"/>
    <w:uiPriority w:val="0"/>
    <w:qFormat/>
    <w:pPr>
      <w:ind w:firstLine="640"/>
      <w:jc w:val="left"/>
      <w:spacing w:line="590" w:lineRule="exact"/>
    </w:pPr>
    <w:rPr>
      <w:rFonts w:ascii="仿宋_GB2312" w:hAnsi="宋体" w:eastAsia="仿宋_GB2312" w:cs="Times New Roman"/>
      <w:sz w:val="32"/>
      <w:szCs w:val="28"/>
    </w:rPr>
  </w:style>
  <w:style w:type="paragraph" w:styleId="694">
    <w:name w:val="endnote text"/>
    <w:basedOn w:val="663"/>
    <w:link w:val="882"/>
    <w:uiPriority w:val="99"/>
    <w:semiHidden/>
    <w:unhideWhenUsed/>
    <w:qFormat/>
    <w:pPr>
      <w:spacing w:after="0" w:line="240" w:lineRule="auto"/>
    </w:pPr>
    <w:rPr>
      <w:sz w:val="20"/>
    </w:rPr>
  </w:style>
  <w:style w:type="paragraph" w:styleId="695">
    <w:name w:val="Footer"/>
    <w:basedOn w:val="663"/>
    <w:next w:val="696"/>
    <w:link w:val="755"/>
    <w:uiPriority w:val="99"/>
    <w:unhideWhenUsed/>
    <w:qFormat/>
    <w:pPr>
      <w:spacing w:after="0" w:line="240" w:lineRule="auto"/>
      <w:tabs>
        <w:tab w:val="center" w:pos="7143" w:leader="none"/>
        <w:tab w:val="right" w:pos="14287" w:leader="none"/>
      </w:tabs>
    </w:pPr>
  </w:style>
  <w:style w:type="paragraph" w:styleId="696" w:customStyle="1">
    <w:name w:val="TOC Heading1"/>
    <w:next w:val="663"/>
    <w:uiPriority w:val="0"/>
    <w:qFormat/>
    <w:rPr>
      <w:rFonts w:hint="default" w:ascii="Calibri" w:hAnsi="Calibri" w:eastAsia="宋体" w:cs="Times New Roman"/>
      <w:sz w:val="32"/>
    </w:rPr>
  </w:style>
  <w:style w:type="paragraph" w:styleId="697">
    <w:name w:val="Header"/>
    <w:basedOn w:val="663"/>
    <w:link w:val="753"/>
    <w:uiPriority w:val="99"/>
    <w:unhideWhenUsed/>
    <w:qFormat/>
    <w:pPr>
      <w:spacing w:after="0" w:line="240" w:lineRule="auto"/>
      <w:tabs>
        <w:tab w:val="center" w:pos="7143" w:leader="none"/>
        <w:tab w:val="right" w:pos="14287" w:leader="none"/>
      </w:tabs>
    </w:pPr>
  </w:style>
  <w:style w:type="paragraph" w:styleId="698">
    <w:name w:val="toc 1"/>
    <w:basedOn w:val="663"/>
    <w:next w:val="663"/>
    <w:uiPriority w:val="39"/>
    <w:unhideWhenUsed/>
    <w:qFormat/>
    <w:pPr>
      <w:ind w:left="0" w:right="0" w:firstLine="0"/>
      <w:spacing w:after="57"/>
    </w:pPr>
  </w:style>
  <w:style w:type="paragraph" w:styleId="699">
    <w:name w:val="toc 4"/>
    <w:basedOn w:val="663"/>
    <w:next w:val="663"/>
    <w:uiPriority w:val="39"/>
    <w:unhideWhenUsed/>
    <w:qFormat/>
    <w:pPr>
      <w:ind w:left="850" w:right="0" w:firstLine="0"/>
      <w:spacing w:after="57"/>
    </w:pPr>
  </w:style>
  <w:style w:type="paragraph" w:styleId="700">
    <w:name w:val="Subtitle"/>
    <w:basedOn w:val="663"/>
    <w:next w:val="663"/>
    <w:link w:val="748"/>
    <w:uiPriority w:val="11"/>
    <w:qFormat/>
    <w:pPr>
      <w:spacing w:before="200" w:after="200"/>
    </w:pPr>
    <w:rPr>
      <w:sz w:val="24"/>
      <w:szCs w:val="24"/>
    </w:rPr>
  </w:style>
  <w:style w:type="paragraph" w:styleId="701">
    <w:name w:val="footnote text"/>
    <w:basedOn w:val="663"/>
    <w:next w:val="680"/>
    <w:link w:val="881"/>
    <w:uiPriority w:val="99"/>
    <w:semiHidden/>
    <w:unhideWhenUsed/>
    <w:qFormat/>
    <w:pPr>
      <w:spacing w:after="40" w:line="240" w:lineRule="auto"/>
    </w:pPr>
    <w:rPr>
      <w:sz w:val="18"/>
    </w:rPr>
  </w:style>
  <w:style w:type="paragraph" w:styleId="702">
    <w:name w:val="toc 6"/>
    <w:basedOn w:val="663"/>
    <w:next w:val="663"/>
    <w:uiPriority w:val="39"/>
    <w:unhideWhenUsed/>
    <w:qFormat/>
    <w:pPr>
      <w:ind w:left="1417" w:right="0" w:firstLine="0"/>
      <w:spacing w:after="57"/>
    </w:pPr>
  </w:style>
  <w:style w:type="paragraph" w:styleId="703">
    <w:name w:val="table of figures"/>
    <w:basedOn w:val="663"/>
    <w:next w:val="663"/>
    <w:uiPriority w:val="99"/>
    <w:unhideWhenUsed/>
    <w:qFormat/>
    <w:pPr>
      <w:spacing w:after="0" w:afterAutospacing="0"/>
    </w:pPr>
  </w:style>
  <w:style w:type="paragraph" w:styleId="704">
    <w:name w:val="toc 2"/>
    <w:basedOn w:val="663"/>
    <w:next w:val="663"/>
    <w:uiPriority w:val="39"/>
    <w:unhideWhenUsed/>
    <w:qFormat/>
    <w:pPr>
      <w:ind w:left="283" w:right="0" w:firstLine="0"/>
      <w:spacing w:after="57"/>
    </w:pPr>
  </w:style>
  <w:style w:type="paragraph" w:styleId="705">
    <w:name w:val="toc 9"/>
    <w:basedOn w:val="663"/>
    <w:next w:val="663"/>
    <w:uiPriority w:val="39"/>
    <w:unhideWhenUsed/>
    <w:qFormat/>
    <w:pPr>
      <w:ind w:left="2268" w:right="0" w:firstLine="0"/>
      <w:spacing w:after="57"/>
    </w:pPr>
  </w:style>
  <w:style w:type="paragraph" w:styleId="706">
    <w:name w:val="Normal (Web)"/>
    <w:basedOn w:val="663"/>
    <w:uiPriority w:val="99"/>
    <w:qFormat/>
    <w:pPr>
      <w:jc w:val="left"/>
      <w:spacing w:before="100" w:beforeAutospacing="1" w:after="100" w:afterAutospacing="1"/>
      <w:widowControl/>
    </w:pPr>
    <w:rPr>
      <w:rFonts w:ascii="宋体" w:hAnsi="宋体" w:cs="宋体"/>
      <w:sz w:val="24"/>
    </w:rPr>
  </w:style>
  <w:style w:type="paragraph" w:styleId="707">
    <w:name w:val="Title"/>
    <w:basedOn w:val="663"/>
    <w:next w:val="663"/>
    <w:link w:val="747"/>
    <w:uiPriority w:val="10"/>
    <w:qFormat/>
    <w:pPr>
      <w:contextualSpacing/>
      <w:spacing w:before="300" w:after="200"/>
    </w:pPr>
    <w:rPr>
      <w:sz w:val="48"/>
      <w:szCs w:val="48"/>
    </w:rPr>
  </w:style>
  <w:style w:type="paragraph" w:styleId="708">
    <w:name w:val="Body Text First Indent"/>
    <w:basedOn w:val="682"/>
    <w:next w:val="709"/>
    <w:uiPriority w:val="0"/>
    <w:qFormat/>
    <w:pPr>
      <w:ind w:firstLine="200"/>
      <w:spacing w:line="360" w:lineRule="auto"/>
    </w:pPr>
    <w:rPr>
      <w:rFonts w:ascii="仿宋_GB2312" w:eastAsia="仿宋_GB2312"/>
      <w:sz w:val="30"/>
      <w:szCs w:val="30"/>
    </w:rPr>
  </w:style>
  <w:style w:type="paragraph" w:styleId="709">
    <w:name w:val="Body Text First Indent 2"/>
    <w:basedOn w:val="686"/>
    <w:next w:val="708"/>
    <w:uiPriority w:val="99"/>
    <w:qFormat/>
    <w:pPr>
      <w:ind w:left="0" w:firstLine="420"/>
      <w:spacing w:after="0" w:line="360" w:lineRule="auto"/>
    </w:pPr>
    <w:rPr>
      <w:rFonts w:ascii="宋体" w:hAnsi="宋体"/>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3"/>
    <w:uiPriority w:val="22"/>
    <w:qFormat/>
    <w:rPr>
      <w:b/>
    </w:rPr>
  </w:style>
  <w:style w:type="character" w:styleId="712">
    <w:name w:val="endnote reference"/>
    <w:uiPriority w:val="99"/>
    <w:semiHidden/>
    <w:unhideWhenUsed/>
    <w:qFormat/>
    <w:rPr>
      <w:vertAlign w:val="superscript"/>
    </w:rPr>
  </w:style>
  <w:style w:type="character" w:styleId="713">
    <w:name w:val="Emphasis"/>
    <w:basedOn w:val="673"/>
    <w:uiPriority w:val="20"/>
    <w:qFormat/>
    <w:rPr>
      <w:i/>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paragraph" w:styleId="716" w:customStyle="1">
    <w:name w:val="正文1"/>
    <w:basedOn w:val="717"/>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customStyle="1">
    <w:name w:val="目录 111"/>
    <w:basedOn w:val="663"/>
    <w:next w:val="663"/>
    <w:uiPriority w:val="39"/>
    <w:unhideWhenUsed/>
    <w:qFormat/>
    <w:pPr>
      <w:jc w:val="left"/>
      <w:spacing w:after="100" w:line="259" w:lineRule="auto"/>
      <w:widowControl/>
    </w:pPr>
    <w:rPr>
      <w:rFonts w:ascii="Calibri" w:hAnsi="Calibri"/>
      <w:sz w:val="22"/>
      <w:szCs w:val="22"/>
    </w:rPr>
  </w:style>
  <w:style w:type="paragraph" w:styleId="719" w:customStyle="1">
    <w:name w:val="脚注文本1"/>
    <w:basedOn w:val="716"/>
    <w:next w:val="720"/>
    <w:uiPriority w:val="0"/>
    <w:qFormat/>
    <w:pPr>
      <w:jc w:val="left"/>
    </w:pPr>
    <w:rPr>
      <w:rFonts w:ascii="宋体" w:eastAsia="Times New Roman"/>
      <w:sz w:val="18"/>
      <w:szCs w:val="18"/>
    </w:rPr>
  </w:style>
  <w:style w:type="paragraph" w:styleId="720" w:customStyle="1">
    <w:name w:val="索引 51"/>
    <w:basedOn w:val="716"/>
    <w:next w:val="716"/>
    <w:uiPriority w:val="0"/>
    <w:qFormat/>
    <w:pPr>
      <w:ind w:left="798"/>
      <w:jc w:val="left"/>
    </w:pPr>
    <w:rPr>
      <w:rFonts w:ascii="Calibri" w:hAnsi="Calibri"/>
    </w:rPr>
  </w:style>
  <w:style w:type="paragraph" w:styleId="721" w:customStyle="1">
    <w:name w:val="目录 11"/>
    <w:basedOn w:val="676"/>
    <w:next w:val="716"/>
    <w:uiPriority w:val="39"/>
    <w:qFormat/>
  </w:style>
  <w:style w:type="paragraph" w:styleId="722" w:customStyle="1">
    <w:name w:val="正文文本111"/>
    <w:basedOn w:val="676"/>
    <w:next w:val="676"/>
    <w:uiPriority w:val="0"/>
    <w:qFormat/>
  </w:style>
  <w:style w:type="paragraph" w:styleId="723" w:customStyle="1">
    <w:name w:val="目录 1111"/>
    <w:basedOn w:val="663"/>
    <w:next w:val="663"/>
    <w:uiPriority w:val="39"/>
    <w:unhideWhenUsed/>
    <w:qFormat/>
    <w:pPr>
      <w:jc w:val="left"/>
      <w:spacing w:after="100" w:line="259" w:lineRule="auto"/>
      <w:widowControl/>
    </w:pPr>
    <w:rPr>
      <w:rFonts w:ascii="Calibri" w:hAnsi="Calibri" w:eastAsia="宋体"/>
      <w:sz w:val="22"/>
      <w:szCs w:val="22"/>
    </w:rPr>
  </w:style>
  <w:style w:type="paragraph" w:styleId="724" w:customStyle="1">
    <w:name w:val="正文首行缩进1"/>
    <w:basedOn w:val="725"/>
    <w:next w:val="732"/>
    <w:link w:val="938"/>
    <w:uiPriority w:val="0"/>
    <w:qFormat/>
    <w:pPr>
      <w:ind w:firstLine="420"/>
    </w:pPr>
    <w:rPr>
      <w:rFonts w:ascii="仿宋_GB2312" w:hAnsi="Times New Roman" w:eastAsia="仿宋_GB2312"/>
      <w:sz w:val="30"/>
      <w:szCs w:val="30"/>
    </w:rPr>
  </w:style>
  <w:style w:type="paragraph" w:styleId="725" w:customStyle="1">
    <w:name w:val="正文文本11"/>
    <w:basedOn w:val="726"/>
    <w:next w:val="727"/>
    <w:uiPriority w:val="0"/>
    <w:qFormat/>
    <w:pPr>
      <w:spacing w:after="120"/>
    </w:pPr>
  </w:style>
  <w:style w:type="paragraph" w:styleId="726" w:customStyle="1">
    <w:name w:val="正文112"/>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customStyle="1">
    <w:name w:val="正文11"/>
    <w:next w:val="728"/>
    <w:uiPriority w:val="0"/>
    <w:qFormat/>
    <w:pPr>
      <w:jc w:val="both"/>
    </w:pPr>
    <w:rPr>
      <w:rFonts w:hint="default" w:ascii="Times New Roman" w:hAnsi="Times New Roman" w:eastAsia="宋体" w:cs="Times New Roman"/>
      <w:lang w:val="en-US" w:eastAsia="zh-CN" w:bidi="ar-SA"/>
    </w:rPr>
  </w:style>
  <w:style w:type="paragraph" w:styleId="728" w:customStyle="1">
    <w:name w:val="正文首行缩进11"/>
    <w:basedOn w:val="725"/>
    <w:next w:val="729"/>
    <w:uiPriority w:val="0"/>
    <w:qFormat/>
    <w:pPr>
      <w:ind w:firstLine="420"/>
    </w:pPr>
    <w:rPr>
      <w:rFonts w:ascii="仿宋_GB2312" w:eastAsia="仿宋_GB2312"/>
      <w:sz w:val="30"/>
      <w:szCs w:val="30"/>
    </w:rPr>
  </w:style>
  <w:style w:type="paragraph" w:styleId="729" w:customStyle="1">
    <w:name w:val="正文首行缩进 211"/>
    <w:basedOn w:val="730"/>
    <w:uiPriority w:val="0"/>
    <w:qFormat/>
    <w:pPr>
      <w:ind w:firstLine="420"/>
    </w:pPr>
    <w:rPr>
      <w:rFonts w:ascii="Times New Roman" w:hAnsi="Times New Roman"/>
    </w:rPr>
  </w:style>
  <w:style w:type="paragraph" w:styleId="730" w:customStyle="1">
    <w:name w:val="正文文本缩进11"/>
    <w:basedOn w:val="727"/>
    <w:next w:val="731"/>
    <w:uiPriority w:val="0"/>
    <w:qFormat/>
    <w:pPr>
      <w:ind w:left="420"/>
      <w:spacing w:after="120"/>
    </w:pPr>
    <w:rPr>
      <w:rFonts w:ascii="Calibri" w:hAnsi="Calibri"/>
    </w:rPr>
  </w:style>
  <w:style w:type="paragraph" w:styleId="731" w:customStyle="1">
    <w:name w:val="寄信人地址11"/>
    <w:basedOn w:val="727"/>
    <w:uiPriority w:val="0"/>
    <w:qFormat/>
    <w:rPr>
      <w:rFonts w:ascii="Arial" w:hAnsi="Arial"/>
    </w:rPr>
  </w:style>
  <w:style w:type="paragraph" w:styleId="732" w:customStyle="1">
    <w:name w:val="正文首行缩进 21"/>
    <w:basedOn w:val="733"/>
    <w:next w:val="717"/>
    <w:link w:val="913"/>
    <w:uiPriority w:val="0"/>
    <w:qFormat/>
    <w:pPr>
      <w:ind w:firstLine="420"/>
    </w:pPr>
    <w:rPr>
      <w:rFonts w:ascii="Times New Roman" w:hAnsi="Times New Roman"/>
    </w:rPr>
  </w:style>
  <w:style w:type="paragraph" w:styleId="733" w:customStyle="1">
    <w:name w:val="正文文本缩进1"/>
    <w:basedOn w:val="663"/>
    <w:next w:val="734"/>
    <w:link w:val="907"/>
    <w:uiPriority w:val="99"/>
    <w:qFormat/>
    <w:pPr>
      <w:ind w:left="420"/>
      <w:spacing w:after="120"/>
    </w:pPr>
    <w:rPr>
      <w:rFonts w:ascii="Calibri" w:hAnsi="Calibri"/>
    </w:rPr>
  </w:style>
  <w:style w:type="paragraph" w:styleId="734" w:customStyle="1">
    <w:name w:val="寄信人地址1"/>
    <w:basedOn w:val="663"/>
    <w:uiPriority w:val="0"/>
    <w:qFormat/>
    <w:rPr>
      <w:rFonts w:ascii="Arial" w:hAnsi="Arial"/>
    </w:rPr>
  </w:style>
  <w:style w:type="paragraph" w:styleId="735" w:customStyle="1">
    <w:name w:val="正文49"/>
    <w:uiPriority w:val="0"/>
    <w:qFormat/>
    <w:pPr>
      <w:jc w:val="both"/>
      <w:widowControl w:val="off"/>
    </w:pPr>
    <w:rPr>
      <w:rFonts w:hint="default" w:ascii="Calibri" w:hAnsi="Calibri" w:eastAsia="宋体" w:cs="Times New Roman"/>
      <w:sz w:val="21"/>
      <w:szCs w:val="22"/>
    </w:rPr>
  </w:style>
  <w:style w:type="character" w:styleId="736" w:customStyle="1">
    <w:name w:val="Heading 1 Char"/>
    <w:link w:val="664"/>
    <w:uiPriority w:val="9"/>
    <w:qFormat/>
    <w:rPr>
      <w:rFonts w:ascii="Arial" w:hAnsi="Arial" w:eastAsia="Arial" w:cs="Arial"/>
      <w:sz w:val="40"/>
      <w:szCs w:val="40"/>
    </w:rPr>
  </w:style>
  <w:style w:type="character" w:styleId="737" w:customStyle="1">
    <w:name w:val="Heading 2 Char"/>
    <w:link w:val="665"/>
    <w:uiPriority w:val="9"/>
    <w:qFormat/>
    <w:rPr>
      <w:rFonts w:ascii="Arial" w:hAnsi="Arial" w:eastAsia="Arial" w:cs="Arial"/>
      <w:sz w:val="34"/>
    </w:rPr>
  </w:style>
  <w:style w:type="character" w:styleId="738" w:customStyle="1">
    <w:name w:val="Heading 3 Char"/>
    <w:link w:val="666"/>
    <w:uiPriority w:val="9"/>
    <w:qFormat/>
    <w:rPr>
      <w:rFonts w:ascii="Arial" w:hAnsi="Arial" w:eastAsia="Arial" w:cs="Arial"/>
      <w:sz w:val="30"/>
      <w:szCs w:val="30"/>
    </w:rPr>
  </w:style>
  <w:style w:type="character" w:styleId="739" w:customStyle="1">
    <w:name w:val="Heading 4 Char"/>
    <w:link w:val="667"/>
    <w:uiPriority w:val="9"/>
    <w:qFormat/>
    <w:rPr>
      <w:rFonts w:ascii="Arial" w:hAnsi="Arial" w:eastAsia="Arial" w:cs="Arial"/>
      <w:b/>
      <w:bCs/>
      <w:sz w:val="26"/>
      <w:szCs w:val="26"/>
    </w:rPr>
  </w:style>
  <w:style w:type="character" w:styleId="740" w:customStyle="1">
    <w:name w:val="Heading 5 Char"/>
    <w:link w:val="668"/>
    <w:uiPriority w:val="9"/>
    <w:qFormat/>
    <w:rPr>
      <w:rFonts w:ascii="Arial" w:hAnsi="Arial" w:eastAsia="Arial" w:cs="Arial"/>
      <w:b/>
      <w:bCs/>
      <w:sz w:val="24"/>
      <w:szCs w:val="24"/>
    </w:rPr>
  </w:style>
  <w:style w:type="character" w:styleId="741" w:customStyle="1">
    <w:name w:val="Heading 6 Char"/>
    <w:link w:val="669"/>
    <w:uiPriority w:val="9"/>
    <w:qFormat/>
    <w:rPr>
      <w:rFonts w:ascii="Arial" w:hAnsi="Arial" w:eastAsia="Arial" w:cs="Arial"/>
      <w:b/>
      <w:bCs/>
      <w:sz w:val="22"/>
      <w:szCs w:val="22"/>
    </w:rPr>
  </w:style>
  <w:style w:type="character" w:styleId="742" w:customStyle="1">
    <w:name w:val="Heading 7 Char"/>
    <w:link w:val="670"/>
    <w:uiPriority w:val="9"/>
    <w:qFormat/>
    <w:rPr>
      <w:rFonts w:ascii="Arial" w:hAnsi="Arial" w:eastAsia="Arial" w:cs="Arial"/>
      <w:b/>
      <w:bCs/>
      <w:i/>
      <w:iCs/>
      <w:sz w:val="22"/>
      <w:szCs w:val="22"/>
    </w:rPr>
  </w:style>
  <w:style w:type="character" w:styleId="743" w:customStyle="1">
    <w:name w:val="Heading 8 Char"/>
    <w:link w:val="671"/>
    <w:uiPriority w:val="9"/>
    <w:qFormat/>
    <w:rPr>
      <w:rFonts w:ascii="Arial" w:hAnsi="Arial" w:eastAsia="Arial" w:cs="Arial"/>
      <w:i/>
      <w:iCs/>
      <w:sz w:val="22"/>
      <w:szCs w:val="22"/>
    </w:rPr>
  </w:style>
  <w:style w:type="character" w:styleId="744" w:customStyle="1">
    <w:name w:val="Heading 9 Char"/>
    <w:link w:val="672"/>
    <w:uiPriority w:val="9"/>
    <w:qFormat/>
    <w:rPr>
      <w:rFonts w:ascii="Arial" w:hAnsi="Arial" w:eastAsia="Arial" w:cs="Arial"/>
      <w:i/>
      <w:iCs/>
      <w:sz w:val="21"/>
      <w:szCs w:val="21"/>
    </w:rPr>
  </w:style>
  <w:style w:type="paragraph" w:styleId="745">
    <w:name w:val="List Paragraph"/>
    <w:basedOn w:val="663"/>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07"/>
    <w:uiPriority w:val="10"/>
    <w:qFormat/>
    <w:rPr>
      <w:sz w:val="48"/>
      <w:szCs w:val="48"/>
    </w:rPr>
  </w:style>
  <w:style w:type="character" w:styleId="748" w:customStyle="1">
    <w:name w:val="Subtitle Char"/>
    <w:link w:val="700"/>
    <w:uiPriority w:val="11"/>
    <w:qFormat/>
    <w:rPr>
      <w:sz w:val="24"/>
      <w:szCs w:val="24"/>
    </w:rPr>
  </w:style>
  <w:style w:type="paragraph" w:styleId="749">
    <w:name w:val="Quote"/>
    <w:basedOn w:val="663"/>
    <w:next w:val="663"/>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63"/>
    <w:next w:val="66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697"/>
    <w:uiPriority w:val="99"/>
    <w:qFormat/>
  </w:style>
  <w:style w:type="character" w:styleId="754" w:customStyle="1">
    <w:name w:val="Footer Char"/>
    <w:link w:val="695"/>
    <w:uiPriority w:val="99"/>
    <w:qFormat/>
  </w:style>
  <w:style w:type="character" w:styleId="755" w:customStyle="1">
    <w:name w:val="Caption Char"/>
    <w:link w:val="695"/>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01"/>
    <w:uiPriority w:val="99"/>
    <w:qFormat/>
    <w:rPr>
      <w:sz w:val="18"/>
    </w:rPr>
  </w:style>
  <w:style w:type="character" w:styleId="882" w:customStyle="1">
    <w:name w:val="Endnote Text Char"/>
    <w:link w:val="694"/>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1"/>
    <w:basedOn w:val="663"/>
    <w:next w:val="663"/>
    <w:link w:val="914"/>
    <w:uiPriority w:val="9"/>
    <w:qFormat/>
    <w:pPr>
      <w:jc w:val="center"/>
      <w:keepLines/>
      <w:keepNext/>
      <w:spacing w:line="578" w:lineRule="auto"/>
      <w:outlineLvl w:val="0"/>
    </w:pPr>
    <w:rPr>
      <w:rFonts w:eastAsia="新宋体"/>
      <w:b/>
      <w:bCs/>
      <w:sz w:val="30"/>
      <w:szCs w:val="44"/>
    </w:rPr>
  </w:style>
  <w:style w:type="paragraph" w:styleId="885" w:customStyle="1">
    <w:name w:val="标题 21"/>
    <w:basedOn w:val="663"/>
    <w:next w:val="663"/>
    <w:link w:val="915"/>
    <w:uiPriority w:val="0"/>
    <w:qFormat/>
    <w:pPr>
      <w:keepLines/>
      <w:keepNext/>
      <w:spacing w:before="260" w:after="260" w:line="416" w:lineRule="auto"/>
      <w:outlineLvl w:val="1"/>
    </w:pPr>
    <w:rPr>
      <w:rFonts w:ascii="Cambria" w:hAnsi="Cambria"/>
      <w:b/>
      <w:bCs/>
      <w:sz w:val="32"/>
      <w:szCs w:val="32"/>
    </w:rPr>
  </w:style>
  <w:style w:type="paragraph" w:styleId="886" w:customStyle="1">
    <w:name w:val="标题 31"/>
    <w:basedOn w:val="663"/>
    <w:next w:val="663"/>
    <w:link w:val="916"/>
    <w:uiPriority w:val="9"/>
    <w:qFormat/>
    <w:pPr>
      <w:keepLines/>
      <w:keepNext/>
      <w:spacing w:before="260" w:after="260" w:line="416" w:lineRule="auto"/>
      <w:outlineLvl w:val="2"/>
    </w:pPr>
    <w:rPr>
      <w:b/>
      <w:bCs/>
      <w:sz w:val="32"/>
      <w:szCs w:val="32"/>
    </w:rPr>
  </w:style>
  <w:style w:type="paragraph" w:styleId="887" w:customStyle="1">
    <w:name w:val="标题 41"/>
    <w:basedOn w:val="663"/>
    <w:next w:val="663"/>
    <w:link w:val="917"/>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
    <w:basedOn w:val="663"/>
    <w:next w:val="663"/>
    <w:link w:val="906"/>
    <w:uiPriority w:val="0"/>
    <w:qFormat/>
    <w:pPr>
      <w:keepLines/>
      <w:keepNext/>
      <w:spacing w:before="280" w:after="290" w:line="376" w:lineRule="auto"/>
      <w:outlineLvl w:val="4"/>
    </w:pPr>
    <w:rPr>
      <w:b/>
      <w:bCs/>
      <w:sz w:val="28"/>
      <w:szCs w:val="28"/>
    </w:rPr>
  </w:style>
  <w:style w:type="paragraph" w:styleId="889" w:customStyle="1">
    <w:name w:val="标题 71"/>
    <w:basedOn w:val="663"/>
    <w:next w:val="663"/>
    <w:link w:val="908"/>
    <w:uiPriority w:val="9"/>
    <w:qFormat/>
    <w:pPr>
      <w:keepLines/>
      <w:keepNext/>
      <w:spacing w:before="240" w:after="64" w:line="320" w:lineRule="auto"/>
      <w:outlineLvl w:val="6"/>
    </w:pPr>
    <w:rPr>
      <w:rFonts w:ascii="Calibri" w:hAnsi="Calibri"/>
      <w:b/>
      <w:bCs/>
      <w:sz w:val="24"/>
    </w:rPr>
  </w:style>
  <w:style w:type="character" w:styleId="890" w:customStyle="1">
    <w:name w:val="默认段落字体1"/>
    <w:link w:val="663"/>
    <w:uiPriority w:val="0"/>
    <w:semiHidden/>
    <w:qFormat/>
  </w:style>
  <w:style w:type="table" w:styleId="891" w:customStyle="1">
    <w:name w:val="普通表格1"/>
    <w:uiPriority w:val="0"/>
    <w:semiHidden/>
    <w:qFormat/>
    <w:tblPr/>
  </w:style>
  <w:style w:type="character" w:styleId="892" w:customStyle="1">
    <w:name w:val="font01"/>
    <w:link w:val="663"/>
    <w:uiPriority w:val="0"/>
    <w:qFormat/>
    <w:rPr>
      <w:rFonts w:hint="eastAsia" w:ascii="仿宋" w:hAnsi="仿宋" w:eastAsia="仿宋" w:cs="仿宋"/>
      <w:color w:val="000000"/>
      <w:sz w:val="20"/>
      <w:szCs w:val="20"/>
      <w:u w:val="none"/>
    </w:rPr>
  </w:style>
  <w:style w:type="character" w:styleId="893" w:customStyle="1">
    <w:name w:val="文档结构图 字符"/>
    <w:link w:val="663"/>
    <w:uiPriority w:val="0"/>
    <w:qFormat/>
    <w:rPr>
      <w:rFonts w:ascii="Microsoft YaHei UI" w:eastAsia="Microsoft YaHei UI"/>
      <w:sz w:val="18"/>
      <w:szCs w:val="18"/>
    </w:rPr>
  </w:style>
  <w:style w:type="character" w:styleId="894" w:customStyle="1">
    <w:name w:val="标书正文 Char1"/>
    <w:link w:val="895"/>
    <w:uiPriority w:val="0"/>
    <w:qFormat/>
    <w:rPr>
      <w:color w:val="000000"/>
      <w:sz w:val="22"/>
      <w:szCs w:val="28"/>
      <w:lang w:eastAsia="en-US"/>
    </w:rPr>
  </w:style>
  <w:style w:type="paragraph" w:styleId="895" w:customStyle="1">
    <w:name w:val="标书正文"/>
    <w:basedOn w:val="663"/>
    <w:link w:val="89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96" w:customStyle="1">
    <w:name w:val="批注文字 Char1"/>
    <w:link w:val="663"/>
    <w:uiPriority w:val="0"/>
    <w:qFormat/>
    <w:rPr>
      <w:sz w:val="21"/>
      <w:szCs w:val="24"/>
    </w:rPr>
  </w:style>
  <w:style w:type="character" w:styleId="897" w:customStyle="1">
    <w:name w:val="标题 2 Char"/>
    <w:link w:val="663"/>
    <w:uiPriority w:val="0"/>
    <w:qFormat/>
    <w:rPr>
      <w:rFonts w:ascii="Cambria" w:hAnsi="Cambria" w:eastAsia="宋体" w:cs="Times New Roman"/>
      <w:b/>
      <w:bCs/>
      <w:sz w:val="32"/>
      <w:szCs w:val="32"/>
    </w:rPr>
  </w:style>
  <w:style w:type="character" w:styleId="898" w:customStyle="1">
    <w:name w:val="标题 4 字符"/>
    <w:link w:val="663"/>
    <w:uiPriority w:val="0"/>
    <w:semiHidden/>
    <w:qFormat/>
    <w:rPr>
      <w:rFonts w:ascii="等线 Light" w:hAnsi="等线 Light" w:eastAsia="等线 Light" w:cs="Times New Roman"/>
      <w:b/>
      <w:bCs/>
      <w:sz w:val="28"/>
      <w:szCs w:val="28"/>
    </w:rPr>
  </w:style>
  <w:style w:type="character" w:styleId="899" w:customStyle="1">
    <w:name w:val="正文文本 Char"/>
    <w:link w:val="663"/>
    <w:uiPriority w:val="0"/>
    <w:qFormat/>
    <w:rPr>
      <w:sz w:val="21"/>
      <w:szCs w:val="24"/>
    </w:rPr>
  </w:style>
  <w:style w:type="character" w:styleId="900" w:customStyle="1">
    <w:name w:val="页脚 Char"/>
    <w:link w:val="663"/>
    <w:uiPriority w:val="0"/>
    <w:qFormat/>
    <w:rPr>
      <w:sz w:val="18"/>
      <w:szCs w:val="18"/>
    </w:rPr>
  </w:style>
  <w:style w:type="character" w:styleId="901" w:customStyle="1">
    <w:name w:val="批注引用1"/>
    <w:link w:val="663"/>
    <w:uiPriority w:val="99"/>
    <w:qFormat/>
    <w:rPr>
      <w:sz w:val="21"/>
      <w:szCs w:val="21"/>
    </w:rPr>
  </w:style>
  <w:style w:type="character" w:styleId="902" w:customStyle="1">
    <w:name w:val="要点1"/>
    <w:link w:val="663"/>
    <w:uiPriority w:val="0"/>
    <w:qFormat/>
    <w:rPr>
      <w:b/>
      <w:bCs/>
    </w:rPr>
  </w:style>
  <w:style w:type="character" w:styleId="903" w:customStyle="1">
    <w:name w:val="超链接1"/>
    <w:link w:val="663"/>
    <w:uiPriority w:val="0"/>
    <w:unhideWhenUsed/>
    <w:qFormat/>
    <w:rPr>
      <w:color w:val="0000ff"/>
      <w:u w:val="single"/>
    </w:rPr>
  </w:style>
  <w:style w:type="character" w:styleId="904" w:customStyle="1">
    <w:name w:val="页码1"/>
    <w:link w:val="663"/>
    <w:uiPriority w:val="0"/>
    <w:qFormat/>
  </w:style>
  <w:style w:type="character" w:styleId="905" w:customStyle="1">
    <w:name w:val="强调1"/>
    <w:link w:val="663"/>
    <w:uiPriority w:val="0"/>
    <w:qFormat/>
    <w:rPr>
      <w:i/>
    </w:rPr>
  </w:style>
  <w:style w:type="character" w:styleId="906" w:customStyle="1">
    <w:name w:val="标题 5 字符"/>
    <w:link w:val="888"/>
    <w:uiPriority w:val="0"/>
    <w:semiHidden/>
    <w:qFormat/>
    <w:rPr>
      <w:b/>
      <w:bCs/>
      <w:sz w:val="28"/>
      <w:szCs w:val="28"/>
    </w:rPr>
  </w:style>
  <w:style w:type="character" w:styleId="907" w:customStyle="1">
    <w:name w:val="正文文本缩进 字符"/>
    <w:link w:val="733"/>
    <w:uiPriority w:val="99"/>
    <w:qFormat/>
    <w:rPr>
      <w:rFonts w:ascii="Calibri" w:hAnsi="Calibri"/>
      <w:sz w:val="21"/>
      <w:szCs w:val="24"/>
    </w:rPr>
  </w:style>
  <w:style w:type="character" w:styleId="908" w:customStyle="1">
    <w:name w:val="标题 7 字符"/>
    <w:link w:val="889"/>
    <w:uiPriority w:val="9"/>
    <w:semiHidden/>
    <w:qFormat/>
    <w:rPr>
      <w:rFonts w:ascii="Calibri" w:hAnsi="Calibri"/>
      <w:b/>
      <w:bCs/>
      <w:sz w:val="24"/>
      <w:szCs w:val="24"/>
    </w:rPr>
  </w:style>
  <w:style w:type="character" w:styleId="909" w:customStyle="1">
    <w:name w:val="标题 2 字符"/>
    <w:link w:val="663"/>
    <w:uiPriority w:val="0"/>
    <w:semiHidden/>
    <w:qFormat/>
    <w:rPr>
      <w:rFonts w:ascii="等线 Light" w:hAnsi="等线 Light" w:eastAsia="等线 Light" w:cs="Times New Roman"/>
      <w:b/>
      <w:bCs/>
      <w:sz w:val="32"/>
      <w:szCs w:val="32"/>
    </w:rPr>
  </w:style>
  <w:style w:type="character" w:styleId="910" w:customStyle="1">
    <w:name w:val="正文缩进 字符"/>
    <w:link w:val="911"/>
    <w:uiPriority w:val="0"/>
    <w:qFormat/>
    <w:rPr>
      <w:sz w:val="21"/>
      <w:szCs w:val="24"/>
      <w:lang w:bidi="ar-SA"/>
    </w:rPr>
  </w:style>
  <w:style w:type="paragraph" w:styleId="911" w:customStyle="1">
    <w:name w:val="正文缩进1"/>
    <w:basedOn w:val="663"/>
    <w:link w:val="910"/>
    <w:uiPriority w:val="0"/>
    <w:qFormat/>
    <w:pPr>
      <w:ind w:firstLine="420"/>
    </w:pPr>
  </w:style>
  <w:style w:type="character" w:styleId="912" w:customStyle="1">
    <w:name w:val="fontstyle01"/>
    <w:link w:val="663"/>
    <w:uiPriority w:val="0"/>
    <w:qFormat/>
    <w:rPr>
      <w:rFonts w:ascii="MicrosoftYaHeiLight" w:hAnsi="MicrosoftYaHeiLight"/>
      <w:color w:val="000000"/>
      <w:sz w:val="22"/>
      <w:szCs w:val="22"/>
    </w:rPr>
  </w:style>
  <w:style w:type="character" w:styleId="913" w:customStyle="1">
    <w:name w:val="正文文本首行缩进 2 字符"/>
    <w:link w:val="732"/>
    <w:uiPriority w:val="0"/>
    <w:qFormat/>
  </w:style>
  <w:style w:type="character" w:styleId="914" w:customStyle="1">
    <w:name w:val="标题 1 字符"/>
    <w:link w:val="884"/>
    <w:uiPriority w:val="0"/>
    <w:qFormat/>
    <w:rPr>
      <w:rFonts w:eastAsia="新宋体"/>
      <w:b/>
      <w:bCs/>
      <w:sz w:val="30"/>
      <w:szCs w:val="44"/>
    </w:rPr>
  </w:style>
  <w:style w:type="character" w:styleId="915" w:customStyle="1">
    <w:name w:val="标题 2 字符1"/>
    <w:link w:val="885"/>
    <w:uiPriority w:val="9"/>
    <w:qFormat/>
    <w:rPr>
      <w:rFonts w:ascii="Cambria" w:hAnsi="Cambria"/>
      <w:b/>
      <w:bCs/>
      <w:sz w:val="32"/>
      <w:szCs w:val="32"/>
    </w:rPr>
  </w:style>
  <w:style w:type="character" w:styleId="916" w:customStyle="1">
    <w:name w:val="标题 3 字符"/>
    <w:link w:val="886"/>
    <w:uiPriority w:val="0"/>
    <w:semiHidden/>
    <w:qFormat/>
    <w:rPr>
      <w:b/>
      <w:bCs/>
      <w:sz w:val="32"/>
      <w:szCs w:val="32"/>
    </w:rPr>
  </w:style>
  <w:style w:type="character" w:styleId="917" w:customStyle="1">
    <w:name w:val="标题 4 字符1"/>
    <w:link w:val="887"/>
    <w:uiPriority w:val="9"/>
    <w:semiHidden/>
    <w:qFormat/>
    <w:rPr>
      <w:rFonts w:ascii="Cambria" w:hAnsi="Cambria"/>
      <w:b/>
      <w:bCs/>
      <w:sz w:val="28"/>
      <w:szCs w:val="28"/>
    </w:rPr>
  </w:style>
  <w:style w:type="character" w:styleId="918" w:customStyle="1">
    <w:name w:val="文档结构图 字符1"/>
    <w:link w:val="919"/>
    <w:uiPriority w:val="99"/>
    <w:qFormat/>
    <w:rPr>
      <w:rFonts w:ascii="宋体" w:hAnsi="Calibri"/>
      <w:sz w:val="18"/>
      <w:szCs w:val="18"/>
    </w:rPr>
  </w:style>
  <w:style w:type="paragraph" w:styleId="919" w:customStyle="1">
    <w:name w:val="文档结构图1"/>
    <w:basedOn w:val="663"/>
    <w:link w:val="918"/>
    <w:uiPriority w:val="99"/>
    <w:unhideWhenUsed/>
    <w:qFormat/>
    <w:rPr>
      <w:rFonts w:ascii="宋体" w:hAnsi="Calibri"/>
      <w:sz w:val="18"/>
      <w:szCs w:val="18"/>
    </w:rPr>
  </w:style>
  <w:style w:type="character" w:styleId="920" w:customStyle="1">
    <w:name w:val="批注文字 字符"/>
    <w:link w:val="921"/>
    <w:uiPriority w:val="0"/>
    <w:qFormat/>
    <w:rPr>
      <w:sz w:val="21"/>
      <w:szCs w:val="24"/>
    </w:rPr>
  </w:style>
  <w:style w:type="paragraph" w:styleId="921" w:customStyle="1">
    <w:name w:val="批注文字1"/>
    <w:basedOn w:val="663"/>
    <w:link w:val="920"/>
    <w:uiPriority w:val="0"/>
    <w:qFormat/>
    <w:pPr>
      <w:jc w:val="left"/>
    </w:pPr>
  </w:style>
  <w:style w:type="character" w:styleId="922" w:customStyle="1">
    <w:name w:val="正文文本 字符"/>
    <w:link w:val="923"/>
    <w:uiPriority w:val="1"/>
    <w:qFormat/>
    <w:rPr>
      <w:rFonts w:ascii="Calibri" w:hAnsi="Calibri"/>
      <w:sz w:val="21"/>
      <w:szCs w:val="24"/>
    </w:rPr>
  </w:style>
  <w:style w:type="paragraph" w:styleId="923" w:customStyle="1">
    <w:name w:val="正文文本1"/>
    <w:basedOn w:val="663"/>
    <w:next w:val="663"/>
    <w:link w:val="922"/>
    <w:uiPriority w:val="0"/>
    <w:qFormat/>
    <w:pPr>
      <w:spacing w:after="120"/>
    </w:pPr>
    <w:rPr>
      <w:rFonts w:ascii="Calibri" w:hAnsi="Calibri"/>
    </w:rPr>
  </w:style>
  <w:style w:type="character" w:styleId="924" w:customStyle="1">
    <w:name w:val="纯文本 字符"/>
    <w:link w:val="925"/>
    <w:uiPriority w:val="0"/>
    <w:qFormat/>
    <w:rPr>
      <w:rFonts w:ascii="宋体" w:hAnsi="Courier New"/>
      <w:sz w:val="21"/>
    </w:rPr>
  </w:style>
  <w:style w:type="paragraph" w:styleId="925" w:customStyle="1">
    <w:name w:val="纯文本1"/>
    <w:basedOn w:val="663"/>
    <w:link w:val="924"/>
    <w:uiPriority w:val="0"/>
    <w:qFormat/>
    <w:rPr>
      <w:rFonts w:ascii="宋体" w:hAnsi="Courier New"/>
      <w:szCs w:val="20"/>
    </w:rPr>
  </w:style>
  <w:style w:type="character" w:styleId="926" w:customStyle="1">
    <w:name w:val="日期 字符"/>
    <w:link w:val="927"/>
    <w:uiPriority w:val="99"/>
    <w:qFormat/>
    <w:rPr>
      <w:rFonts w:eastAsia="仿宋_GB2312"/>
      <w:sz w:val="28"/>
    </w:rPr>
  </w:style>
  <w:style w:type="paragraph" w:styleId="927" w:customStyle="1">
    <w:name w:val="日期1"/>
    <w:basedOn w:val="663"/>
    <w:next w:val="663"/>
    <w:link w:val="926"/>
    <w:uiPriority w:val="99"/>
    <w:qFormat/>
    <w:rPr>
      <w:rFonts w:eastAsia="仿宋_GB2312"/>
      <w:sz w:val="28"/>
      <w:szCs w:val="20"/>
    </w:rPr>
  </w:style>
  <w:style w:type="character" w:styleId="928" w:customStyle="1">
    <w:name w:val="正文文本缩进 2 字符"/>
    <w:link w:val="929"/>
    <w:uiPriority w:val="0"/>
    <w:qFormat/>
    <w:rPr>
      <w:rFonts w:ascii="仿宋_GB2312" w:eastAsia="仿宋_GB2312"/>
      <w:sz w:val="24"/>
      <w:szCs w:val="24"/>
      <w:lang w:bidi="ar-SA"/>
    </w:rPr>
  </w:style>
  <w:style w:type="paragraph" w:styleId="929" w:customStyle="1">
    <w:name w:val="正文文本缩进 21"/>
    <w:basedOn w:val="663"/>
    <w:link w:val="928"/>
    <w:uiPriority w:val="0"/>
    <w:qFormat/>
    <w:pPr>
      <w:ind w:firstLine="475"/>
      <w:spacing w:line="10" w:lineRule="atLeast"/>
    </w:pPr>
    <w:rPr>
      <w:rFonts w:ascii="仿宋_GB2312" w:eastAsia="仿宋_GB2312"/>
      <w:sz w:val="24"/>
    </w:rPr>
  </w:style>
  <w:style w:type="character" w:styleId="930" w:customStyle="1">
    <w:name w:val="批注框文本 字符"/>
    <w:link w:val="931"/>
    <w:uiPriority w:val="0"/>
    <w:qFormat/>
    <w:rPr>
      <w:sz w:val="18"/>
      <w:szCs w:val="18"/>
    </w:rPr>
  </w:style>
  <w:style w:type="paragraph" w:styleId="931" w:customStyle="1">
    <w:name w:val="批注框文本1"/>
    <w:basedOn w:val="663"/>
    <w:link w:val="930"/>
    <w:uiPriority w:val="0"/>
    <w:qFormat/>
    <w:rPr>
      <w:sz w:val="18"/>
      <w:szCs w:val="18"/>
    </w:rPr>
  </w:style>
  <w:style w:type="character" w:styleId="932" w:customStyle="1">
    <w:name w:val="页脚 字符"/>
    <w:link w:val="933"/>
    <w:uiPriority w:val="99"/>
    <w:qFormat/>
    <w:rPr>
      <w:sz w:val="18"/>
      <w:szCs w:val="18"/>
    </w:rPr>
  </w:style>
  <w:style w:type="paragraph" w:styleId="933" w:customStyle="1">
    <w:name w:val="页脚1"/>
    <w:basedOn w:val="663"/>
    <w:link w:val="932"/>
    <w:uiPriority w:val="0"/>
    <w:qFormat/>
    <w:pPr>
      <w:jc w:val="left"/>
      <w:tabs>
        <w:tab w:val="center" w:pos="4153" w:leader="none"/>
        <w:tab w:val="right" w:pos="8306" w:leader="none"/>
      </w:tabs>
    </w:pPr>
    <w:rPr>
      <w:sz w:val="18"/>
      <w:szCs w:val="18"/>
    </w:rPr>
  </w:style>
  <w:style w:type="character" w:styleId="934" w:customStyle="1">
    <w:name w:val="页眉 字符"/>
    <w:link w:val="935"/>
    <w:uiPriority w:val="0"/>
    <w:qFormat/>
    <w:rPr>
      <w:sz w:val="18"/>
      <w:szCs w:val="18"/>
    </w:rPr>
  </w:style>
  <w:style w:type="paragraph" w:styleId="935" w:customStyle="1">
    <w:name w:val="页眉1"/>
    <w:basedOn w:val="663"/>
    <w:link w:val="934"/>
    <w:uiPriority w:val="0"/>
    <w:qFormat/>
    <w:pPr>
      <w:jc w:val="center"/>
      <w:tabs>
        <w:tab w:val="center" w:pos="4153" w:leader="none"/>
        <w:tab w:val="right" w:pos="8306" w:leader="none"/>
      </w:tabs>
      <w:pBdr>
        <w:bottom w:val="single" w:color="000000" w:sz="6" w:space="1"/>
      </w:pBdr>
    </w:pPr>
    <w:rPr>
      <w:sz w:val="18"/>
      <w:szCs w:val="18"/>
    </w:rPr>
  </w:style>
  <w:style w:type="character" w:styleId="936" w:customStyle="1">
    <w:name w:val="批注主题 字符"/>
    <w:link w:val="937"/>
    <w:uiPriority w:val="0"/>
    <w:qFormat/>
    <w:rPr>
      <w:b/>
      <w:bCs/>
      <w:sz w:val="21"/>
      <w:szCs w:val="24"/>
    </w:rPr>
  </w:style>
  <w:style w:type="paragraph" w:styleId="937" w:customStyle="1">
    <w:name w:val="批注主题1"/>
    <w:basedOn w:val="921"/>
    <w:next w:val="921"/>
    <w:link w:val="936"/>
    <w:uiPriority w:val="0"/>
    <w:qFormat/>
    <w:rPr>
      <w:b/>
      <w:bCs/>
    </w:rPr>
  </w:style>
  <w:style w:type="character" w:styleId="938" w:customStyle="1">
    <w:name w:val="正文文本首行缩进 字符1"/>
    <w:link w:val="724"/>
    <w:uiPriority w:val="0"/>
    <w:qFormat/>
    <w:rPr>
      <w:rFonts w:ascii="仿宋_GB2312" w:hAnsi="Times New Roman" w:eastAsia="仿宋_GB2312"/>
      <w:sz w:val="30"/>
      <w:szCs w:val="30"/>
    </w:rPr>
  </w:style>
  <w:style w:type="character" w:styleId="939" w:customStyle="1">
    <w:name w:val="标题 3 Char"/>
    <w:link w:val="663"/>
    <w:uiPriority w:val="9"/>
    <w:qFormat/>
    <w:rPr>
      <w:rFonts w:ascii="Arial" w:hAnsi="Arial" w:eastAsia="宋体" w:cs="Times New Roman"/>
      <w:b/>
      <w:sz w:val="32"/>
      <w:szCs w:val="20"/>
    </w:rPr>
  </w:style>
  <w:style w:type="character" w:styleId="940" w:customStyle="1">
    <w:name w:val="NormalCharacter1"/>
    <w:link w:val="663"/>
    <w:uiPriority w:val="0"/>
    <w:semiHidden/>
    <w:qFormat/>
    <w:rPr>
      <w:sz w:val="28"/>
      <w:lang w:val="en-US" w:eastAsia="zh-CN" w:bidi="ar-SA"/>
    </w:rPr>
  </w:style>
  <w:style w:type="character" w:styleId="941" w:customStyle="1">
    <w:name w:val="font41"/>
    <w:link w:val="663"/>
    <w:uiPriority w:val="0"/>
    <w:qFormat/>
    <w:rPr>
      <w:rFonts w:ascii="Symbol" w:hAnsi="Symbol" w:cs="Symbol"/>
      <w:color w:val="000000"/>
      <w:sz w:val="20"/>
      <w:szCs w:val="20"/>
      <w:u w:val="none"/>
    </w:rPr>
  </w:style>
  <w:style w:type="character" w:styleId="942" w:customStyle="1">
    <w:name w:val="正文首行缩进 2 字符"/>
    <w:link w:val="943"/>
    <w:uiPriority w:val="99"/>
    <w:qFormat/>
    <w:rPr>
      <w:sz w:val="21"/>
      <w:szCs w:val="24"/>
    </w:rPr>
  </w:style>
  <w:style w:type="paragraph" w:styleId="943" w:customStyle="1">
    <w:name w:val="_Style 63"/>
    <w:basedOn w:val="733"/>
    <w:next w:val="663"/>
    <w:link w:val="942"/>
    <w:uiPriority w:val="99"/>
    <w:unhideWhenUsed/>
    <w:qFormat/>
    <w:pPr>
      <w:ind w:firstLine="420"/>
    </w:pPr>
    <w:rPr>
      <w:rFonts w:ascii="Times New Roman" w:hAnsi="Times New Roman"/>
    </w:rPr>
  </w:style>
  <w:style w:type="character" w:styleId="944" w:customStyle="1">
    <w:name w:val="标题 1 Char"/>
    <w:link w:val="663"/>
    <w:uiPriority w:val="9"/>
    <w:qFormat/>
    <w:rPr>
      <w:b/>
      <w:bCs/>
      <w:sz w:val="44"/>
      <w:szCs w:val="44"/>
    </w:rPr>
  </w:style>
  <w:style w:type="character" w:styleId="945" w:customStyle="1">
    <w:name w:val="批注文字 Char"/>
    <w:link w:val="663"/>
    <w:uiPriority w:val="0"/>
    <w:qFormat/>
    <w:rPr>
      <w:rFonts w:ascii="Times New Roman" w:hAnsi="Times New Roman"/>
      <w:sz w:val="21"/>
    </w:rPr>
  </w:style>
  <w:style w:type="character" w:styleId="946" w:customStyle="1">
    <w:name w:val="文档结构图 Char"/>
    <w:link w:val="663"/>
    <w:uiPriority w:val="99"/>
    <w:semiHidden/>
    <w:qFormat/>
    <w:rPr>
      <w:rFonts w:ascii="宋体"/>
      <w:sz w:val="18"/>
      <w:szCs w:val="18"/>
    </w:rPr>
  </w:style>
  <w:style w:type="character" w:styleId="947" w:customStyle="1">
    <w:name w:val="纯文本 Char"/>
    <w:link w:val="663"/>
    <w:uiPriority w:val="0"/>
    <w:qFormat/>
    <w:rPr>
      <w:rFonts w:ascii="宋体" w:hAnsi="Courier New" w:eastAsia="宋体" w:cs="Courier New"/>
      <w:szCs w:val="21"/>
    </w:rPr>
  </w:style>
  <w:style w:type="character" w:styleId="948" w:customStyle="1">
    <w:name w:val="纯文本 Char1"/>
    <w:link w:val="663"/>
    <w:uiPriority w:val="0"/>
    <w:qFormat/>
    <w:rPr>
      <w:rFonts w:ascii="宋体" w:hAnsi="Courier New" w:eastAsia="宋体" w:cs="Times New Roman"/>
      <w:szCs w:val="20"/>
    </w:rPr>
  </w:style>
  <w:style w:type="character" w:styleId="949" w:customStyle="1">
    <w:name w:val="正文文本首行缩进 字符"/>
    <w:link w:val="663"/>
    <w:uiPriority w:val="0"/>
    <w:qFormat/>
  </w:style>
  <w:style w:type="character" w:styleId="950" w:customStyle="1">
    <w:name w:val="页眉 Char"/>
    <w:link w:val="663"/>
    <w:uiPriority w:val="0"/>
    <w:qFormat/>
    <w:rPr>
      <w:sz w:val="18"/>
      <w:szCs w:val="18"/>
    </w:rPr>
  </w:style>
  <w:style w:type="character" w:styleId="951" w:customStyle="1">
    <w:name w:val="日期 Char"/>
    <w:link w:val="663"/>
    <w:uiPriority w:val="99"/>
    <w:semiHidden/>
    <w:qFormat/>
  </w:style>
  <w:style w:type="character" w:styleId="952" w:customStyle="1">
    <w:name w:val="批注框文本 Char"/>
    <w:link w:val="663"/>
    <w:uiPriority w:val="0"/>
    <w:qFormat/>
    <w:rPr>
      <w:sz w:val="18"/>
      <w:szCs w:val="18"/>
    </w:rPr>
  </w:style>
  <w:style w:type="character" w:styleId="953" w:customStyle="1">
    <w:name w:val="apple-converted-space"/>
    <w:link w:val="663"/>
    <w:uiPriority w:val="0"/>
    <w:qFormat/>
  </w:style>
  <w:style w:type="character" w:styleId="954" w:customStyle="1">
    <w:name w:val="批注主题 Char"/>
    <w:link w:val="663"/>
    <w:uiPriority w:val="0"/>
    <w:qFormat/>
    <w:rPr>
      <w:rFonts w:ascii="Times New Roman" w:hAnsi="Times New Roman"/>
      <w:b/>
      <w:bCs/>
      <w:sz w:val="21"/>
    </w:rPr>
  </w:style>
  <w:style w:type="character" w:styleId="955" w:customStyle="1">
    <w:name w:val="标题 4 Char"/>
    <w:link w:val="663"/>
    <w:uiPriority w:val="9"/>
    <w:semiHidden/>
    <w:qFormat/>
    <w:rPr>
      <w:rFonts w:ascii="Cambria" w:hAnsi="Cambria" w:eastAsia="宋体" w:cs="Times New Roman"/>
      <w:b/>
      <w:bCs/>
      <w:sz w:val="28"/>
      <w:szCs w:val="28"/>
    </w:rPr>
  </w:style>
  <w:style w:type="paragraph" w:styleId="956" w:customStyle="1">
    <w:name w:val="索引 41"/>
    <w:basedOn w:val="663"/>
    <w:next w:val="663"/>
    <w:uiPriority w:val="99"/>
    <w:unhideWhenUsed/>
    <w:qFormat/>
    <w:pPr>
      <w:ind w:left="600"/>
    </w:pPr>
    <w:rPr>
      <w:rFonts w:ascii="Calibri" w:hAnsi="Calibri"/>
      <w:szCs w:val="22"/>
    </w:rPr>
  </w:style>
  <w:style w:type="paragraph" w:styleId="957" w:customStyle="1">
    <w:name w:val="索引 11"/>
    <w:basedOn w:val="663"/>
    <w:next w:val="663"/>
    <w:uiPriority w:val="0"/>
    <w:qFormat/>
    <w:pPr>
      <w:jc w:val="center"/>
      <w:tabs>
        <w:tab w:val="left" w:pos="560" w:leader="none"/>
      </w:tabs>
    </w:pPr>
    <w:rPr>
      <w:rFonts w:ascii="宋体" w:hAnsi="宋体"/>
    </w:rPr>
  </w:style>
  <w:style w:type="paragraph" w:styleId="958" w:customStyle="1">
    <w:name w:val="脚注文本11"/>
    <w:basedOn w:val="663"/>
    <w:next w:val="959"/>
    <w:uiPriority w:val="0"/>
    <w:qFormat/>
    <w:pPr>
      <w:jc w:val="left"/>
    </w:pPr>
    <w:rPr>
      <w:rFonts w:ascii="宋体" w:eastAsia="Times New Roman"/>
      <w:sz w:val="18"/>
      <w:szCs w:val="18"/>
    </w:rPr>
  </w:style>
  <w:style w:type="paragraph" w:styleId="959" w:customStyle="1">
    <w:name w:val="索引 511"/>
    <w:basedOn w:val="663"/>
    <w:next w:val="663"/>
    <w:uiPriority w:val="0"/>
    <w:qFormat/>
    <w:pPr>
      <w:ind w:left="798"/>
      <w:jc w:val="left"/>
    </w:pPr>
    <w:rPr>
      <w:rFonts w:ascii="Calibri" w:hAnsi="Calibri"/>
    </w:rPr>
  </w:style>
  <w:style w:type="paragraph" w:styleId="960" w:customStyle="1">
    <w:name w:val="索引标题1"/>
    <w:basedOn w:val="663"/>
    <w:next w:val="957"/>
    <w:uiPriority w:val="0"/>
    <w:qFormat/>
    <w:pPr>
      <w:tabs>
        <w:tab w:val="left" w:pos="560" w:leader="none"/>
      </w:tabs>
    </w:pPr>
    <w:rPr>
      <w:rFonts w:ascii="Arial" w:hAnsi="Arial" w:cs="Arial"/>
      <w:b/>
      <w:bCs/>
    </w:rPr>
  </w:style>
  <w:style w:type="paragraph" w:styleId="961" w:customStyle="1">
    <w:name w:val="文本块1"/>
    <w:basedOn w:val="663"/>
    <w:uiPriority w:val="0"/>
    <w:qFormat/>
    <w:pPr>
      <w:ind w:left="420" w:right="33"/>
      <w:jc w:val="left"/>
    </w:pPr>
    <w:rPr>
      <w:sz w:val="24"/>
      <w:szCs w:val="20"/>
    </w:rPr>
  </w:style>
  <w:style w:type="paragraph" w:styleId="962" w:customStyle="1">
    <w:name w:val="普通(网站)1"/>
    <w:basedOn w:val="663"/>
    <w:uiPriority w:val="99"/>
    <w:qFormat/>
    <w:pPr>
      <w:jc w:val="left"/>
      <w:spacing w:before="100" w:beforeAutospacing="1" w:after="100" w:afterAutospacing="1"/>
      <w:widowControl/>
    </w:pPr>
    <w:rPr>
      <w:rFonts w:ascii="宋体" w:hAnsi="宋体" w:cs="宋体"/>
      <w:sz w:val="24"/>
    </w:rPr>
  </w:style>
  <w:style w:type="paragraph" w:styleId="963" w:customStyle="1">
    <w:name w:val="标题1"/>
    <w:basedOn w:val="663"/>
    <w:next w:val="663"/>
    <w:uiPriority w:val="10"/>
    <w:qFormat/>
    <w:pPr>
      <w:contextualSpacing/>
      <w:spacing w:before="300" w:after="200"/>
    </w:pPr>
    <w:rPr>
      <w:sz w:val="48"/>
      <w:szCs w:val="48"/>
    </w:rPr>
  </w:style>
  <w:style w:type="paragraph" w:styleId="964" w:customStyle="1">
    <w:name w:val="_Style 15"/>
    <w:basedOn w:val="663"/>
    <w:next w:val="965"/>
    <w:uiPriority w:val="34"/>
    <w:qFormat/>
    <w:pPr>
      <w:ind w:firstLine="420"/>
    </w:pPr>
    <w:rPr>
      <w:rFonts w:ascii="Calibri" w:hAnsi="Calibri"/>
      <w:szCs w:val="22"/>
    </w:rPr>
  </w:style>
  <w:style w:type="paragraph" w:styleId="965" w:customStyle="1">
    <w:name w:val="列表段落"/>
    <w:basedOn w:val="663"/>
    <w:uiPriority w:val="99"/>
    <w:qFormat/>
    <w:pPr>
      <w:ind w:firstLine="420"/>
    </w:pPr>
  </w:style>
  <w:style w:type="paragraph" w:styleId="966" w:customStyle="1">
    <w:name w:val="179"/>
    <w:basedOn w:val="663"/>
    <w:uiPriority w:val="0"/>
    <w:qFormat/>
    <w:pPr>
      <w:ind w:firstLine="420"/>
      <w:jc w:val="left"/>
      <w:widowControl/>
    </w:pPr>
    <w:rPr>
      <w:rFonts w:ascii="宋体" w:hAnsi="宋体"/>
      <w:sz w:val="24"/>
    </w:rPr>
  </w:style>
  <w:style w:type="paragraph" w:styleId="967" w:customStyle="1">
    <w:name w:val="UserStyle_1"/>
    <w:basedOn w:val="663"/>
    <w:uiPriority w:val="0"/>
    <w:qFormat/>
    <w:pPr>
      <w:ind w:left="-6" w:hanging="99"/>
      <w:jc w:val="left"/>
    </w:pPr>
    <w:rPr>
      <w:rFonts w:ascii="宋体"/>
      <w:b/>
    </w:rPr>
  </w:style>
  <w:style w:type="paragraph" w:styleId="968" w:customStyle="1">
    <w:name w:val="_Style 101"/>
    <w:basedOn w:val="663"/>
    <w:next w:val="663"/>
    <w:uiPriority w:val="39"/>
    <w:unhideWhenUsed/>
    <w:qFormat/>
    <w:pPr>
      <w:ind w:left="420"/>
    </w:pPr>
    <w:rPr>
      <w:rFonts w:ascii="Calibri" w:hAnsi="Calibri"/>
      <w:szCs w:val="22"/>
    </w:rPr>
  </w:style>
  <w:style w:type="paragraph" w:styleId="969" w:customStyle="1">
    <w:name w:val="Heading21"/>
    <w:basedOn w:val="663"/>
    <w:next w:val="663"/>
    <w:uiPriority w:val="0"/>
    <w:qFormat/>
    <w:pPr>
      <w:jc w:val="left"/>
      <w:keepLines/>
      <w:keepNext/>
      <w:spacing w:before="260" w:after="260" w:line="416" w:lineRule="auto"/>
    </w:pPr>
    <w:rPr>
      <w:rFonts w:ascii="Calibri Light" w:hAnsi="Calibri Light"/>
      <w:b/>
      <w:bCs/>
      <w:sz w:val="24"/>
      <w:szCs w:val="32"/>
    </w:rPr>
  </w:style>
  <w:style w:type="paragraph" w:styleId="970" w:customStyle="1">
    <w:name w:val="样式"/>
    <w:uiPriority w:val="0"/>
    <w:qFormat/>
    <w:pPr>
      <w:widowControl w:val="off"/>
    </w:pPr>
    <w:rPr>
      <w:rFonts w:hint="default" w:ascii="宋体" w:hAnsi="宋体" w:eastAsia="宋体" w:cs="宋体"/>
      <w:sz w:val="24"/>
      <w:szCs w:val="24"/>
      <w:lang w:val="en-US" w:eastAsia="zh-CN" w:bidi="ar-SA"/>
    </w:rPr>
  </w:style>
  <w:style w:type="paragraph" w:styleId="971" w:customStyle="1">
    <w:name w:val="投标文件正文"/>
    <w:basedOn w:val="663"/>
    <w:uiPriority w:val="0"/>
    <w:qFormat/>
    <w:pPr>
      <w:ind w:firstLine="200"/>
      <w:spacing w:before="40" w:after="40" w:line="400" w:lineRule="exact"/>
    </w:pPr>
    <w:rPr>
      <w:sz w:val="24"/>
    </w:rPr>
  </w:style>
  <w:style w:type="paragraph" w:styleId="972" w:customStyle="1">
    <w:name w:val="TOC 标题"/>
    <w:basedOn w:val="884"/>
    <w:next w:val="663"/>
    <w:uiPriority w:val="39"/>
    <w:qFormat/>
    <w:pPr>
      <w:jc w:val="left"/>
      <w:spacing w:before="480" w:line="276" w:lineRule="auto"/>
      <w:widowControl/>
      <w:outlineLvl w:val="9"/>
    </w:pPr>
    <w:rPr>
      <w:rFonts w:ascii="Cambria" w:hAnsi="Cambria" w:eastAsia="宋体"/>
      <w:color w:val="365f91"/>
      <w:sz w:val="28"/>
      <w:szCs w:val="28"/>
    </w:rPr>
  </w:style>
  <w:style w:type="paragraph" w:styleId="973" w:customStyle="1">
    <w:name w:val="NormalIndent1"/>
    <w:basedOn w:val="663"/>
    <w:uiPriority w:val="0"/>
    <w:qFormat/>
    <w:pPr>
      <w:ind w:firstLine="420"/>
    </w:pPr>
    <w:rPr>
      <w:szCs w:val="20"/>
    </w:rPr>
  </w:style>
  <w:style w:type="paragraph" w:styleId="974" w:customStyle="1">
    <w:name w:val="标题 11"/>
    <w:basedOn w:val="716"/>
    <w:next w:val="716"/>
    <w:uiPriority w:val="0"/>
    <w:qFormat/>
    <w:pPr>
      <w:jc w:val="center"/>
      <w:keepLines/>
      <w:keepNext/>
      <w:spacing w:line="578" w:lineRule="auto"/>
      <w:outlineLvl w:val="0"/>
    </w:pPr>
    <w:rPr>
      <w:rFonts w:eastAsia="新宋体"/>
      <w:b/>
      <w:bCs/>
      <w:sz w:val="30"/>
      <w:szCs w:val="44"/>
    </w:rPr>
  </w:style>
  <w:style w:type="paragraph" w:styleId="975" w:customStyle="1">
    <w:name w:val="首行缩进"/>
    <w:basedOn w:val="663"/>
    <w:uiPriority w:val="0"/>
    <w:qFormat/>
    <w:pPr>
      <w:ind w:firstLine="480"/>
    </w:pPr>
    <w:rPr>
      <w:szCs w:val="20"/>
      <w:lang w:val="zh-CN"/>
    </w:rPr>
  </w:style>
  <w:style w:type="paragraph" w:styleId="976" w:customStyle="1">
    <w:name w:val="Other|1"/>
    <w:basedOn w:val="663"/>
    <w:uiPriority w:val="0"/>
    <w:qFormat/>
    <w:pPr>
      <w:ind w:firstLine="400"/>
      <w:spacing w:line="418" w:lineRule="auto"/>
    </w:pPr>
    <w:rPr>
      <w:rFonts w:ascii="宋体" w:hAnsi="宋体" w:cs="宋体"/>
      <w:sz w:val="30"/>
      <w:szCs w:val="30"/>
      <w:lang w:val="zh-TW" w:eastAsia="zh-TW" w:bidi="zh-TW"/>
    </w:rPr>
  </w:style>
  <w:style w:type="paragraph" w:styleId="977" w:customStyle="1">
    <w:name w:val="BodyTextIndent1"/>
    <w:basedOn w:val="663"/>
    <w:uiPriority w:val="0"/>
    <w:qFormat/>
    <w:pPr>
      <w:ind w:left="420"/>
      <w:spacing w:after="120"/>
    </w:pPr>
    <w:rPr>
      <w:sz w:val="28"/>
      <w:szCs w:val="20"/>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p0"/>
    <w:basedOn w:val="663"/>
    <w:uiPriority w:val="0"/>
    <w:qFormat/>
    <w:pPr>
      <w:widowControl/>
    </w:pPr>
    <w:rPr>
      <w:szCs w:val="21"/>
    </w:rPr>
  </w:style>
  <w:style w:type="paragraph" w:styleId="9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1" w:customStyle="1">
    <w:name w:val="one-p"/>
    <w:basedOn w:val="663"/>
    <w:uiPriority w:val="0"/>
    <w:qFormat/>
    <w:pPr>
      <w:jc w:val="left"/>
      <w:spacing w:before="100" w:beforeAutospacing="1" w:after="100" w:afterAutospacing="1"/>
      <w:widowControl/>
    </w:pPr>
    <w:rPr>
      <w:rFonts w:ascii="宋体" w:hAnsi="宋体" w:cs="宋体"/>
      <w:sz w:val="24"/>
    </w:rPr>
  </w:style>
  <w:style w:type="paragraph" w:styleId="982" w:customStyle="1">
    <w:name w:val="列出段落1"/>
    <w:basedOn w:val="663"/>
    <w:uiPriority w:val="0"/>
    <w:qFormat/>
    <w:pPr>
      <w:ind w:firstLine="420"/>
    </w:pPr>
    <w:rPr>
      <w:rFonts w:ascii="Calibri" w:hAnsi="Calibri"/>
    </w:rPr>
  </w:style>
  <w:style w:type="table" w:styleId="983" w:customStyle="1">
    <w:name w:val="网格型11"/>
    <w:basedOn w:val="891"/>
    <w:uiPriority w:val="99"/>
    <w:qFormat/>
    <w:pPr>
      <w:jc w:val="both"/>
      <w:widowControl w:val="off"/>
    </w:pPr>
    <w:tblPr/>
  </w:style>
  <w:style w:type="table" w:styleId="984" w:customStyle="1">
    <w:name w:val="网格型1"/>
    <w:basedOn w:val="891"/>
    <w:uiPriority w:val="59"/>
    <w:qFormat/>
    <w:pPr>
      <w:jc w:val="both"/>
      <w:widowControl w:val="off"/>
    </w:pPr>
    <w:tblPr/>
  </w:style>
  <w:style w:type="table" w:styleId="985" w:customStyle="1">
    <w:name w:val="Table Normal"/>
    <w:uiPriority w:val="2"/>
    <w:semiHidden/>
    <w:unhideWhenUsed/>
    <w:qFormat/>
    <w:tblPr>
      <w:tblCellMar>
        <w:left w:w="0" w:type="dxa"/>
        <w:top w:w="0" w:type="dxa"/>
        <w:right w:w="0" w:type="dxa"/>
        <w:bottom w:w="0" w:type="dxa"/>
      </w:tblCellMar>
    </w:tblPr>
  </w:style>
  <w:style w:type="paragraph" w:styleId="986" w:customStyle="1">
    <w:name w:val="Table Paragraph"/>
    <w:basedOn w:val="663"/>
    <w:uiPriority w:val="1"/>
    <w:qFormat/>
    <w:pPr>
      <w:ind w:left="108"/>
    </w:pPr>
  </w:style>
  <w:style w:type="paragraph" w:styleId="987" w:customStyle="1">
    <w:name w:val="纯文本2"/>
    <w:basedOn w:val="663"/>
    <w:uiPriority w:val="0"/>
    <w:qFormat/>
    <w:rPr>
      <w:rFonts w:ascii="宋体" w:hAnsi="Courier New"/>
    </w:rPr>
  </w:style>
  <w:style w:type="paragraph" w:styleId="988" w:customStyle="1">
    <w:name w:val="qowt-stl-正文"/>
    <w:basedOn w:val="663"/>
    <w:uiPriority w:val="0"/>
    <w:qFormat/>
    <w:pPr>
      <w:spacing w:before="100" w:beforeAutospacing="1" w:after="100" w:afterAutospacing="1"/>
    </w:pPr>
    <w:rPr>
      <w:rFonts w:ascii="宋体" w:hAnsi="宋体" w:cs="宋体"/>
      <w:sz w:val="24"/>
    </w:rPr>
  </w:style>
  <w:style w:type="character" w:styleId="989" w:customStyle="1">
    <w:name w:val="qowt-font2"/>
    <w:uiPriority w:val="0"/>
    <w:qFormat/>
  </w:style>
  <w:style w:type="table" w:styleId="990" w:customStyle="1">
    <w:name w:val="网格型111"/>
    <w:uiPriority w:val="0"/>
    <w:qFormat/>
    <w:rPr>
      <w:lang w:val="en-US" w:eastAsia="zh-CN" w:bidi="ar-SA"/>
    </w:rPr>
    <w:tblPr/>
  </w:style>
  <w:style w:type="paragraph" w:styleId="991"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缩进）"/>
    <w:basedOn w:val="663"/>
    <w:uiPriority w:val="0"/>
    <w:qFormat/>
    <w:rPr>
      <w:rFonts w:hint="eastAsia" w:ascii="宋体"/>
      <w:szCs w:val="21"/>
    </w:rPr>
  </w:style>
  <w:style w:type="paragraph" w:styleId="994"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995" w:customStyle="1">
    <w:name w:val="纯文本11"/>
    <w:basedOn w:val="663"/>
    <w:uiPriority w:val="0"/>
    <w:qFormat/>
    <w:rPr>
      <w:rFonts w:ascii="宋体" w:hAnsi="Courier New"/>
      <w:szCs w:val="21"/>
    </w:rPr>
  </w:style>
  <w:style w:type="paragraph" w:styleId="996" w:customStyle="1">
    <w:name w:val="※正文"/>
    <w:basedOn w:val="663"/>
    <w:next w:val="663"/>
    <w:uiPriority w:val="0"/>
    <w:qFormat/>
    <w:pPr>
      <w:ind w:left="1131"/>
    </w:pPr>
    <w:rPr>
      <w:rFonts w:cstheme="minorBidi"/>
    </w:rPr>
  </w:style>
  <w:style w:type="numbering" w:styleId="7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毛松宇</cp:lastModifiedBy>
  <cp:revision>18</cp:revision>
  <dcterms:created xsi:type="dcterms:W3CDTF">2022-04-14T10:51:00Z</dcterms:created>
  <dcterms:modified xsi:type="dcterms:W3CDTF">2025-11-18T04:01:31Z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E18229A1C70B47A2B013E5C8BAB6CC6C_13</vt:lpwstr>
  </property>
  <property fmtid="{D5CDD505-2E9C-101B-9397-08002B2CF9AE}" pid="4" name="KSOTemplateDocerSaveRecord">
    <vt:lpwstr>eyJoZGlkIjoiN2YzNjBkOTgyNWQ1YTMxYzM3MzMwNWFiODNmOWIzYWMifQ==</vt:lpwstr>
  </property>
</Properties>
</file>